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361C" w:rsidRDefault="0025361C">
      <w:pPr>
        <w:spacing w:before="240" w:after="72" w:line="360" w:lineRule="auto"/>
        <w:jc w:val="center"/>
        <w:rPr>
          <w:rFonts w:asciiTheme="minorEastAsia" w:eastAsiaTheme="minorEastAsia" w:hAnsiTheme="minorEastAsia"/>
        </w:rPr>
      </w:pPr>
    </w:p>
    <w:p w:rsidR="0025361C" w:rsidRDefault="0025361C">
      <w:pPr>
        <w:spacing w:before="240" w:after="72" w:line="360" w:lineRule="auto"/>
        <w:jc w:val="center"/>
        <w:rPr>
          <w:rFonts w:asciiTheme="minorEastAsia" w:eastAsiaTheme="minorEastAsia" w:hAnsiTheme="minorEastAsia"/>
        </w:rPr>
      </w:pPr>
    </w:p>
    <w:p w:rsidR="0025361C" w:rsidRDefault="0025361C">
      <w:pPr>
        <w:spacing w:before="240" w:after="72" w:line="360" w:lineRule="auto"/>
        <w:jc w:val="center"/>
        <w:rPr>
          <w:rFonts w:asciiTheme="minorEastAsia" w:eastAsiaTheme="minorEastAsia" w:hAnsiTheme="minorEastAsia"/>
        </w:rPr>
      </w:pPr>
    </w:p>
    <w:p w:rsidR="0025361C" w:rsidRDefault="00CD5DF8">
      <w:pPr>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南银理财鼎瑞悦稳灵活分红（最低持有371天）1号公募人民币理财产品</w:t>
      </w:r>
    </w:p>
    <w:p w:rsidR="0025361C" w:rsidRDefault="00CD5DF8">
      <w:pPr>
        <w:spacing w:before="240" w:after="72" w:line="360" w:lineRule="auto"/>
        <w:jc w:val="center"/>
        <w:rPr>
          <w:rFonts w:ascii="方正黑体简体" w:eastAsia="方正黑体简体" w:hAnsi="Calibri"/>
          <w:sz w:val="36"/>
        </w:rPr>
      </w:pPr>
      <w:r>
        <w:rPr>
          <w:rFonts w:ascii="方正黑体简体" w:eastAsia="方正黑体简体" w:hAnsi="Calibri" w:hint="eastAsia"/>
          <w:sz w:val="36"/>
        </w:rPr>
        <w:t>2026</w:t>
      </w:r>
      <w:r>
        <w:rPr>
          <w:rFonts w:ascii="方正黑体简体" w:eastAsia="方正黑体简体" w:hAnsi="Calibri" w:hint="eastAsia"/>
          <w:sz w:val="36"/>
        </w:rPr>
        <w:t>年第</w:t>
      </w:r>
      <w:r>
        <w:rPr>
          <w:rFonts w:ascii="方正黑体简体" w:eastAsia="方正黑体简体" w:hAnsi="Calibri" w:hint="eastAsia"/>
          <w:sz w:val="36"/>
        </w:rPr>
        <w:t>2</w:t>
      </w:r>
      <w:r>
        <w:rPr>
          <w:rFonts w:ascii="方正黑体简体" w:eastAsia="方正黑体简体" w:hAnsi="Calibri" w:hint="eastAsia"/>
          <w:sz w:val="36"/>
        </w:rPr>
        <w:t>季度报告</w:t>
      </w:r>
    </w:p>
    <w:p w:rsidR="0025361C" w:rsidRDefault="0025361C">
      <w:pPr>
        <w:spacing w:before="240" w:after="72" w:line="360" w:lineRule="auto"/>
        <w:jc w:val="center"/>
        <w:rPr>
          <w:rFonts w:ascii="方正黑体简体" w:eastAsia="方正黑体简体"/>
          <w:sz w:val="36"/>
          <w:szCs w:val="36"/>
        </w:rPr>
      </w:pPr>
    </w:p>
    <w:p w:rsidR="0025361C" w:rsidRDefault="0025361C">
      <w:pPr>
        <w:spacing w:before="240" w:after="72" w:line="360" w:lineRule="auto"/>
        <w:jc w:val="center"/>
        <w:rPr>
          <w:rFonts w:ascii="方正黑体简体" w:eastAsia="方正黑体简体"/>
          <w:sz w:val="36"/>
          <w:szCs w:val="36"/>
        </w:rPr>
      </w:pPr>
    </w:p>
    <w:p w:rsidR="0025361C" w:rsidRDefault="0025361C">
      <w:pPr>
        <w:spacing w:before="240" w:after="72" w:line="360" w:lineRule="auto"/>
        <w:jc w:val="center"/>
        <w:rPr>
          <w:rFonts w:ascii="方正黑体简体" w:eastAsia="方正黑体简体"/>
          <w:sz w:val="36"/>
          <w:szCs w:val="36"/>
        </w:rPr>
      </w:pPr>
    </w:p>
    <w:p w:rsidR="0025361C" w:rsidRDefault="0025361C">
      <w:pPr>
        <w:spacing w:before="240" w:after="72" w:line="360" w:lineRule="auto"/>
        <w:jc w:val="center"/>
        <w:rPr>
          <w:rFonts w:ascii="方正黑体简体" w:eastAsia="方正黑体简体"/>
          <w:sz w:val="36"/>
          <w:szCs w:val="36"/>
        </w:rPr>
      </w:pPr>
    </w:p>
    <w:p w:rsidR="0025361C" w:rsidRDefault="00CD5DF8">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产品管理人</w:t>
      </w:r>
      <w:r>
        <w:rPr>
          <w:rFonts w:ascii="方正仿宋简体" w:eastAsia="方正仿宋简体" w:hint="eastAsia"/>
          <w:b/>
          <w:sz w:val="24"/>
          <w:szCs w:val="24"/>
        </w:rPr>
        <w:t>:南银理财有限责任公司</w:t>
      </w:r>
    </w:p>
    <w:p w:rsidR="0025361C" w:rsidRDefault="00CD5DF8">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产品托管人</w:t>
      </w:r>
      <w:r>
        <w:rPr>
          <w:rFonts w:ascii="方正仿宋简体" w:eastAsia="方正仿宋简体" w:hint="eastAsia"/>
          <w:b/>
          <w:sz w:val="24"/>
          <w:szCs w:val="24"/>
        </w:rPr>
        <w:t>:南京银行股份有限公司</w:t>
      </w:r>
    </w:p>
    <w:p w:rsidR="0025361C" w:rsidRDefault="0025361C">
      <w:pPr>
        <w:spacing w:before="240" w:after="72" w:line="360" w:lineRule="auto"/>
        <w:jc w:val="center"/>
        <w:rPr>
          <w:rFonts w:ascii="方正黑体简体" w:eastAsia="方正黑体简体"/>
          <w:sz w:val="36"/>
          <w:szCs w:val="36"/>
        </w:rPr>
      </w:pPr>
    </w:p>
    <w:p w:rsidR="0025361C" w:rsidRDefault="00CD5DF8">
      <w:pPr>
        <w:spacing w:before="240" w:after="72" w:line="360" w:lineRule="auto"/>
        <w:jc w:val="center"/>
        <w:rPr>
          <w:rFonts w:ascii="方正黑体简体" w:eastAsia="方正黑体简体"/>
          <w:sz w:val="36"/>
          <w:szCs w:val="36"/>
        </w:rPr>
      </w:pPr>
      <w:r>
        <w:rPr>
          <w:rFonts w:ascii="方正黑体简体" w:eastAsia="方正黑体简体"/>
          <w:sz w:val="36"/>
          <w:szCs w:val="36"/>
        </w:rPr>
        <w:br w:type="page"/>
      </w:r>
    </w:p>
    <w:p w:rsidR="0025361C" w:rsidRDefault="00CD5DF8">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lastRenderedPageBreak/>
        <w:t>§</w:t>
      </w:r>
      <w:r>
        <w:rPr>
          <w:rFonts w:ascii="方正仿宋简体" w:eastAsia="方正仿宋简体" w:hint="eastAsia"/>
          <w:b/>
          <w:sz w:val="24"/>
          <w:szCs w:val="24"/>
        </w:rPr>
        <w:t xml:space="preserve">1 </w:t>
      </w:r>
      <w:r>
        <w:rPr>
          <w:rFonts w:ascii="方正仿宋简体" w:eastAsia="方正仿宋简体" w:hint="eastAsia"/>
          <w:b/>
          <w:sz w:val="24"/>
          <w:szCs w:val="24"/>
        </w:rPr>
        <w:t>产品概况</w:t>
      </w:r>
    </w:p>
    <w:tbl>
      <w:tblPr>
        <w:tblW w:w="8959"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894"/>
        <w:gridCol w:w="6065"/>
      </w:tblGrid>
      <w:tr w:rsidR="0025361C">
        <w:trPr>
          <w:trHeight w:val="663"/>
        </w:trPr>
        <w:tc>
          <w:tcPr>
            <w:tcW w:w="2894"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产品全称</w:t>
            </w:r>
          </w:p>
        </w:tc>
        <w:tc>
          <w:tcPr>
            <w:tcW w:w="6065"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南银理财鼎瑞悦稳灵活分红（最低持有371天）1号公募人民币理财产品</w:t>
            </w:r>
          </w:p>
        </w:tc>
      </w:tr>
      <w:tr w:rsidR="0025361C">
        <w:trPr>
          <w:trHeight w:val="1207"/>
        </w:trPr>
        <w:tc>
          <w:tcPr>
            <w:tcW w:w="2894"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产品登记编码</w:t>
            </w:r>
          </w:p>
        </w:tc>
        <w:tc>
          <w:tcPr>
            <w:tcW w:w="6065"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Z7003224000289</w:t>
            </w:r>
            <w:r>
              <w:rPr>
                <w:rFonts w:ascii="方正仿宋简体" w:eastAsia="方正仿宋简体" w:hint="eastAsia"/>
                <w:sz w:val="24"/>
                <w:szCs w:val="24"/>
              </w:rPr>
              <w:t>（投资者可依据该编码在中国理财网</w:t>
            </w:r>
            <w:r>
              <w:rPr>
                <w:rFonts w:ascii="方正仿宋简体" w:eastAsia="方正仿宋简体" w:hint="eastAsia"/>
                <w:sz w:val="24"/>
                <w:szCs w:val="24"/>
              </w:rPr>
              <w:t>www.chinawealth.com.cn</w:t>
            </w:r>
            <w:r>
              <w:rPr>
                <w:rFonts w:ascii="方正仿宋简体" w:eastAsia="方正仿宋简体" w:hint="eastAsia"/>
                <w:sz w:val="24"/>
                <w:szCs w:val="24"/>
              </w:rPr>
              <w:t>查询理财产品相关信息）</w:t>
            </w:r>
          </w:p>
        </w:tc>
      </w:tr>
      <w:tr w:rsidR="0025361C">
        <w:trPr>
          <w:trHeight w:val="663"/>
        </w:trPr>
        <w:tc>
          <w:tcPr>
            <w:tcW w:w="2894"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产品运作方式</w:t>
            </w:r>
          </w:p>
        </w:tc>
        <w:tc>
          <w:tcPr>
            <w:tcW w:w="6065"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开放式净值型</w:t>
            </w:r>
          </w:p>
        </w:tc>
      </w:tr>
      <w:tr w:rsidR="0025361C">
        <w:trPr>
          <w:trHeight w:val="663"/>
        </w:trPr>
        <w:tc>
          <w:tcPr>
            <w:tcW w:w="2894"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产品成立日</w:t>
            </w:r>
          </w:p>
        </w:tc>
        <w:tc>
          <w:tcPr>
            <w:tcW w:w="6065"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2024年12月26日</w:t>
            </w:r>
          </w:p>
        </w:tc>
      </w:tr>
      <w:tr w:rsidR="0025361C">
        <w:trPr>
          <w:trHeight w:val="663"/>
        </w:trPr>
        <w:tc>
          <w:tcPr>
            <w:tcW w:w="2894"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报告期末产品份额总额</w:t>
            </w:r>
          </w:p>
        </w:tc>
        <w:tc>
          <w:tcPr>
            <w:tcW w:w="6065"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8,045,684,023.00</w:t>
            </w:r>
            <w:r>
              <w:rPr>
                <w:rFonts w:ascii="方正仿宋简体" w:eastAsia="方正仿宋简体" w:hint="eastAsia"/>
                <w:sz w:val="24"/>
                <w:szCs w:val="24"/>
              </w:rPr>
              <w:t>份</w:t>
            </w:r>
          </w:p>
        </w:tc>
      </w:tr>
      <w:tr w:rsidR="0025361C">
        <w:trPr>
          <w:trHeight w:val="639"/>
        </w:trPr>
        <w:tc>
          <w:tcPr>
            <w:tcW w:w="2894"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合作机构</w:t>
            </w:r>
          </w:p>
        </w:tc>
        <w:tc>
          <w:tcPr>
            <w:tcW w:w="6065"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中粮信托有限责任公司,中诚信托有限责任公司,华安基金管理有限公司,华鑫证券有限责任公司,国投泰康信托有限公司,国联基金管理有限公司,天弘基金管理有限公司,招商基金管理有限公司,紫金信托有限责任公司,陆家嘴国际信托有限公司,中国对外经济贸易信托有限公司</w:t>
            </w:r>
          </w:p>
        </w:tc>
      </w:tr>
      <w:tr w:rsidR="0025361C">
        <w:trPr>
          <w:trHeight w:val="663"/>
        </w:trPr>
        <w:tc>
          <w:tcPr>
            <w:tcW w:w="2894"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产品管理人</w:t>
            </w:r>
          </w:p>
        </w:tc>
        <w:tc>
          <w:tcPr>
            <w:tcW w:w="6065"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南银理财有限责任公司</w:t>
            </w:r>
          </w:p>
        </w:tc>
      </w:tr>
      <w:tr w:rsidR="0025361C">
        <w:trPr>
          <w:trHeight w:val="663"/>
        </w:trPr>
        <w:tc>
          <w:tcPr>
            <w:tcW w:w="2894"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产品托管人</w:t>
            </w:r>
          </w:p>
        </w:tc>
        <w:tc>
          <w:tcPr>
            <w:tcW w:w="6065" w:type="dxa"/>
            <w:vAlign w:val="center"/>
          </w:tcPr>
          <w:p w:rsidR="0025361C" w:rsidRDefault="00CD5DF8" w:rsidP="005E567C">
            <w:pPr>
              <w:snapToGrid/>
              <w:spacing w:beforeLines="20" w:afterLines="20"/>
              <w:rPr>
                <w:rFonts w:ascii="方正仿宋简体" w:eastAsia="方正仿宋简体"/>
                <w:sz w:val="24"/>
                <w:szCs w:val="24"/>
              </w:rPr>
            </w:pPr>
            <w:r>
              <w:rPr>
                <w:rFonts w:ascii="方正仿宋简体" w:eastAsia="方正仿宋简体" w:hint="eastAsia"/>
                <w:sz w:val="24"/>
                <w:szCs w:val="24"/>
              </w:rPr>
              <w:t>南京银行股份有限公司</w:t>
            </w:r>
          </w:p>
        </w:tc>
      </w:tr>
    </w:tbl>
    <w:p w:rsidR="0025361C" w:rsidRDefault="0025361C">
      <w:pPr>
        <w:spacing w:before="240" w:after="72" w:line="360" w:lineRule="auto"/>
        <w:rPr>
          <w:rFonts w:ascii="方正仿宋_GBK" w:eastAsia="方正仿宋_GBK" w:hAnsi="宋体" w:cs="宋体"/>
          <w:kern w:val="0"/>
          <w:sz w:val="24"/>
          <w:szCs w:val="24"/>
        </w:rPr>
      </w:pPr>
    </w:p>
    <w:p w:rsidR="0025361C" w:rsidRDefault="00CD5DF8">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2  </w:t>
      </w:r>
      <w:r>
        <w:rPr>
          <w:rFonts w:ascii="方正仿宋简体" w:eastAsia="方正仿宋简体" w:hint="eastAsia"/>
          <w:b/>
          <w:sz w:val="24"/>
          <w:szCs w:val="24"/>
        </w:rPr>
        <w:t>主要财务指标和产品业绩比较基准</w:t>
      </w:r>
    </w:p>
    <w:p w:rsidR="0025361C" w:rsidRDefault="00CD5DF8">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2.1 </w:t>
      </w:r>
      <w:r>
        <w:rPr>
          <w:rFonts w:ascii="方正仿宋简体" w:eastAsia="方正仿宋简体" w:hint="eastAsia"/>
          <w:b/>
          <w:sz w:val="24"/>
          <w:szCs w:val="24"/>
        </w:rPr>
        <w:t>主要财务指标</w:t>
      </w:r>
    </w:p>
    <w:p w:rsidR="0025361C" w:rsidRDefault="00CD5DF8">
      <w:pPr>
        <w:spacing w:before="240" w:after="72" w:line="360" w:lineRule="auto"/>
        <w:jc w:val="right"/>
        <w:rPr>
          <w:rFonts w:ascii="方正仿宋简体" w:eastAsia="方正仿宋简体"/>
          <w:sz w:val="24"/>
          <w:szCs w:val="24"/>
        </w:rPr>
      </w:pPr>
      <w:r>
        <w:rPr>
          <w:rFonts w:ascii="方正仿宋简体" w:eastAsia="方正仿宋简体" w:hint="eastAsia"/>
          <w:sz w:val="24"/>
          <w:szCs w:val="24"/>
        </w:rPr>
        <w:t>单位：人民币元</w:t>
      </w:r>
    </w:p>
    <w:tbl>
      <w:tblPr>
        <w:tblpPr w:leftFromText="180" w:rightFromText="180" w:vertAnchor="text" w:tblpXSpec="center" w:tblpY="1"/>
        <w:tblOverlap w:val="neve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2296"/>
        <w:gridCol w:w="2705"/>
        <w:gridCol w:w="2030"/>
        <w:gridCol w:w="2036"/>
      </w:tblGrid>
      <w:tr w:rsidR="0025361C">
        <w:trPr>
          <w:trHeight w:val="613"/>
          <w:jc w:val="center"/>
        </w:trPr>
        <w:tc>
          <w:tcPr>
            <w:tcW w:w="2296" w:type="dxa"/>
            <w:vMerge w:val="restart"/>
            <w:vAlign w:val="center"/>
          </w:tcPr>
          <w:p w:rsidR="0025361C" w:rsidRDefault="00CD5DF8" w:rsidP="005E567C">
            <w:pPr>
              <w:spacing w:beforeLines="20" w:afterLines="20" w:line="360" w:lineRule="auto"/>
              <w:jc w:val="center"/>
              <w:rPr>
                <w:rFonts w:ascii="方正仿宋简体" w:eastAsia="方正仿宋简体"/>
                <w:sz w:val="24"/>
                <w:szCs w:val="24"/>
              </w:rPr>
            </w:pPr>
            <w:r>
              <w:rPr>
                <w:rFonts w:ascii="方正仿宋简体" w:eastAsia="方正仿宋简体" w:hint="eastAsia"/>
                <w:sz w:val="24"/>
                <w:szCs w:val="24"/>
              </w:rPr>
              <w:t>内部销售代码</w:t>
            </w:r>
          </w:p>
        </w:tc>
        <w:tc>
          <w:tcPr>
            <w:tcW w:w="6771" w:type="dxa"/>
            <w:gridSpan w:val="3"/>
            <w:vAlign w:val="center"/>
          </w:tcPr>
          <w:p w:rsidR="0025361C" w:rsidRDefault="00CD5DF8" w:rsidP="005E567C">
            <w:pPr>
              <w:snapToGrid/>
              <w:spacing w:beforeLines="20" w:afterLines="20"/>
              <w:jc w:val="center"/>
              <w:rPr>
                <w:rFonts w:ascii="方正仿宋简体" w:eastAsia="方正仿宋简体"/>
                <w:sz w:val="24"/>
                <w:szCs w:val="24"/>
              </w:rPr>
            </w:pPr>
            <w:r>
              <w:rPr>
                <w:rFonts w:ascii="方正仿宋简体" w:eastAsia="方正仿宋简体" w:hint="eastAsia"/>
                <w:sz w:val="24"/>
                <w:szCs w:val="24"/>
              </w:rPr>
              <w:t>报告期（</w:t>
            </w:r>
            <w:r>
              <w:rPr>
                <w:rFonts w:ascii="方正仿宋简体" w:eastAsia="方正仿宋简体" w:hint="eastAsia"/>
                <w:sz w:val="24"/>
                <w:szCs w:val="24"/>
              </w:rPr>
              <w:t>2026年04月01日 - 2026年06月30日</w:t>
            </w:r>
            <w:r>
              <w:rPr>
                <w:rFonts w:ascii="方正仿宋简体" w:eastAsia="方正仿宋简体" w:hint="eastAsia"/>
                <w:sz w:val="24"/>
                <w:szCs w:val="24"/>
              </w:rPr>
              <w:t>）</w:t>
            </w:r>
          </w:p>
        </w:tc>
      </w:tr>
      <w:tr w:rsidR="0025361C">
        <w:trPr>
          <w:trHeight w:val="1664"/>
          <w:jc w:val="center"/>
        </w:trPr>
        <w:tc>
          <w:tcPr>
            <w:tcW w:w="2296" w:type="dxa"/>
            <w:vMerge/>
            <w:vAlign w:val="center"/>
          </w:tcPr>
          <w:p w:rsidR="0025361C" w:rsidRDefault="0025361C" w:rsidP="005E567C">
            <w:pPr>
              <w:spacing w:beforeLines="20" w:afterLines="20" w:line="360" w:lineRule="auto"/>
              <w:jc w:val="center"/>
              <w:rPr>
                <w:rFonts w:ascii="方正仿宋简体" w:eastAsia="方正仿宋简体"/>
                <w:sz w:val="24"/>
                <w:szCs w:val="24"/>
              </w:rPr>
            </w:pPr>
          </w:p>
        </w:tc>
        <w:tc>
          <w:tcPr>
            <w:tcW w:w="2705" w:type="dxa"/>
            <w:vAlign w:val="center"/>
          </w:tcPr>
          <w:p w:rsidR="0025361C" w:rsidRDefault="00CD5DF8" w:rsidP="005E567C">
            <w:pPr>
              <w:snapToGrid/>
              <w:spacing w:beforeLines="20" w:afterLines="20"/>
              <w:jc w:val="center"/>
              <w:rPr>
                <w:rFonts w:ascii="方正仿宋简体" w:eastAsia="方正仿宋简体"/>
                <w:sz w:val="24"/>
                <w:szCs w:val="24"/>
              </w:rPr>
            </w:pPr>
            <w:r>
              <w:rPr>
                <w:rFonts w:ascii="方正仿宋简体" w:eastAsia="方正仿宋简体" w:hint="eastAsia"/>
                <w:sz w:val="24"/>
                <w:szCs w:val="24"/>
              </w:rPr>
              <w:t>1.</w:t>
            </w:r>
            <w:r>
              <w:rPr>
                <w:rFonts w:ascii="方正仿宋简体" w:eastAsia="方正仿宋简体" w:hint="eastAsia"/>
                <w:sz w:val="24"/>
                <w:szCs w:val="24"/>
              </w:rPr>
              <w:t>期末产品最后一个市场交易日资产净值</w:t>
            </w:r>
          </w:p>
        </w:tc>
        <w:tc>
          <w:tcPr>
            <w:tcW w:w="2030" w:type="dxa"/>
            <w:vAlign w:val="center"/>
          </w:tcPr>
          <w:p w:rsidR="0025361C" w:rsidRDefault="00CD5DF8" w:rsidP="005E567C">
            <w:pPr>
              <w:snapToGrid/>
              <w:spacing w:beforeLines="20" w:afterLines="20"/>
              <w:jc w:val="center"/>
              <w:rPr>
                <w:rFonts w:ascii="方正仿宋简体" w:eastAsia="方正仿宋简体"/>
                <w:sz w:val="24"/>
                <w:szCs w:val="24"/>
              </w:rPr>
            </w:pPr>
            <w:r>
              <w:rPr>
                <w:rFonts w:ascii="方正仿宋简体" w:eastAsia="方正仿宋简体" w:hint="eastAsia"/>
                <w:sz w:val="24"/>
                <w:szCs w:val="24"/>
              </w:rPr>
              <w:t>2.</w:t>
            </w:r>
            <w:r>
              <w:rPr>
                <w:rFonts w:ascii="方正仿宋简体" w:eastAsia="方正仿宋简体" w:hint="eastAsia"/>
                <w:sz w:val="24"/>
                <w:szCs w:val="24"/>
              </w:rPr>
              <w:t>期末产品最后一个市场交易日份额净值</w:t>
            </w:r>
          </w:p>
        </w:tc>
        <w:tc>
          <w:tcPr>
            <w:tcW w:w="2036" w:type="dxa"/>
            <w:vAlign w:val="center"/>
          </w:tcPr>
          <w:p w:rsidR="0025361C" w:rsidRDefault="00CD5DF8" w:rsidP="005E567C">
            <w:pPr>
              <w:snapToGrid/>
              <w:spacing w:beforeLines="20" w:afterLines="20"/>
              <w:jc w:val="center"/>
              <w:rPr>
                <w:rFonts w:ascii="方正仿宋简体" w:eastAsia="方正仿宋简体"/>
                <w:sz w:val="24"/>
                <w:szCs w:val="24"/>
              </w:rPr>
            </w:pPr>
            <w:r>
              <w:rPr>
                <w:rFonts w:ascii="方正仿宋简体" w:eastAsia="方正仿宋简体" w:hint="eastAsia"/>
                <w:sz w:val="24"/>
                <w:szCs w:val="24"/>
              </w:rPr>
              <w:t>3.</w:t>
            </w:r>
            <w:r>
              <w:rPr>
                <w:rFonts w:ascii="方正仿宋简体" w:eastAsia="方正仿宋简体" w:hint="eastAsia"/>
                <w:sz w:val="24"/>
                <w:szCs w:val="24"/>
              </w:rPr>
              <w:t>期末产品最后一个市场交易日份额累计净值</w:t>
            </w:r>
          </w:p>
        </w:tc>
      </w:tr>
      <w:tr>
        <w:trPr>
          <w:trHeight w:val="557"/>
          <w:jc w:val="center"/>
        </w:trPr>
        <w:tc>
          <w:tcPr>
            <w:tcW w:w="2296"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A33004</w:t>
            </w:r>
          </w:p>
        </w:tc>
        <w:tc>
          <w:tcPr>
            <w:tcW w:w="2705"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7,043,571,287.64</w:t>
            </w:r>
          </w:p>
        </w:tc>
        <w:tc>
          <w:tcPr>
            <w:tcW w:w="2030"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1.020989</w:t>
            </w:r>
          </w:p>
        </w:tc>
        <w:tc>
          <w:tcPr>
            <w:tcW w:w="2036"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1.050089</w:t>
            </w:r>
          </w:p>
        </w:tc>
      </w:tr>
      <w:tr>
        <w:trPr>
          <w:trHeight w:val="557"/>
          <w:jc w:val="center"/>
        </w:trPr>
        <w:tc>
          <w:tcPr>
            <w:tcW w:w="2296"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A33006</w:t>
            </w:r>
          </w:p>
        </w:tc>
        <w:tc>
          <w:tcPr>
            <w:tcW w:w="2705"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1,176,895,792.08</w:t>
            </w:r>
          </w:p>
        </w:tc>
        <w:tc>
          <w:tcPr>
            <w:tcW w:w="2030"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1.026141</w:t>
            </w:r>
          </w:p>
        </w:tc>
        <w:tc>
          <w:tcPr>
            <w:tcW w:w="2036" w:type="dxa"/>
            <w:vAlign w:val="center"/>
            <w:vAlign w:val="center"/>
          </w:tcPr>
          <w:p>
            <w:pPr>
              <w:spacing w:beforeLines="20" w:afterLines="20" w:line="360" w:lineRule="auto"/>
              <w:jc w:val="center"/>
              <w:textAlignment w:val="center"/>
              <w:rPr>
                <w:rFonts w:ascii="方正仿宋简体" w:eastAsia="方正仿宋简体"/>
                <w:sz w:val="24"/>
                <w:szCs w:val="24"/>
              </w:rPr>
            </w:pPr>
            <w:r>
              <w:rPr>
                <w:rFonts w:ascii="方正仿宋简体" w:hAnsi="方正仿宋简体" w:cs="方正仿宋简体" w:eastAsia="方正仿宋简体"/>
                <w:sz w:val="24"/>
              </w:rPr>
              <w:t>1.045141</w:t>
            </w:r>
          </w:p>
        </w:tc>
      </w:tr>
    </w:tbl>
    <w:p w:rsidR="0025361C" w:rsidRDefault="00CD5DF8">
      <w:pPr>
        <w:pStyle w:val="biaogeleft"/>
        <w:spacing w:before="240" w:after="72" w:line="360" w:lineRule="auto"/>
        <w:ind w:left="0"/>
        <w:rPr>
          <w:rFonts w:ascii="方正仿宋简体" w:eastAsia="方正仿宋简体" w:hAnsi="Times New Roman" w:cs="Times New Roman"/>
          <w:kern w:val="2"/>
        </w:rPr>
      </w:pPr>
      <w:r>
        <w:rPr>
          <w:rFonts w:ascii="方正仿宋简体" w:eastAsia="方正仿宋简体" w:hAnsi="Times New Roman" w:cs="Times New Roman" w:hint="eastAsia"/>
          <w:kern w:val="2"/>
        </w:rPr>
        <w:t>注：产品净值可能存在未扣除管理人及投资合作机构业绩报酬、赎回费等费用（如有）的情况，实际收益以兑付为准。</w:t>
      </w:r>
    </w:p>
    <w:p w:rsidR="0025361C" w:rsidRDefault="0025361C">
      <w:pPr>
        <w:spacing w:before="240" w:after="72" w:line="360" w:lineRule="auto"/>
        <w:rPr>
          <w:rFonts w:ascii="方正仿宋_GBK" w:eastAsia="方正仿宋_GBK"/>
          <w:sz w:val="24"/>
          <w:szCs w:val="24"/>
        </w:rPr>
      </w:pPr>
    </w:p>
    <w:p w:rsidR="0025361C" w:rsidRDefault="00CD5DF8">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2.2 </w:t>
      </w:r>
      <w:r>
        <w:rPr>
          <w:rFonts w:ascii="方正仿宋简体" w:eastAsia="方正仿宋简体" w:hint="eastAsia"/>
          <w:b/>
          <w:sz w:val="24"/>
          <w:szCs w:val="24"/>
        </w:rPr>
        <w:t>产品业绩比较基准</w:t>
      </w:r>
    </w:p>
    <w:p w:rsidR="0025361C" w:rsidRDefault="00CD5DF8">
      <w:pPr>
        <w:spacing w:before="240" w:after="72" w:line="360" w:lineRule="auto"/>
        <w:rPr>
          <w:rFonts w:ascii="方正仿宋简体" w:eastAsia="方正仿宋简体"/>
          <w:b/>
          <w:sz w:val="24"/>
          <w:szCs w:val="24"/>
        </w:rPr>
      </w:pPr>
      <w:r>
        <w:rPr>
          <w:rFonts w:ascii="方正仿宋简体" w:eastAsia="方正仿宋简体" w:hint="eastAsia"/>
          <w:b/>
          <w:sz w:val="24"/>
          <w:szCs w:val="24"/>
        </w:rPr>
        <w:t>2.2.1</w:t>
      </w:r>
      <w:r>
        <w:rPr>
          <w:rFonts w:ascii="方正仿宋简体" w:eastAsia="方正仿宋简体" w:hint="eastAsia"/>
          <w:b/>
          <w:sz w:val="24"/>
          <w:szCs w:val="24"/>
        </w:rPr>
        <w:t>本报告期产品业绩比较基准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4485"/>
        <w:gridCol w:w="2095"/>
        <w:gridCol w:w="2322"/>
      </w:tblGrid>
      <w:tr w:rsidR="0025361C">
        <w:trPr>
          <w:jc w:val="center"/>
        </w:trPr>
        <w:tc>
          <w:tcPr>
            <w:tcW w:w="4485" w:type="dxa"/>
            <w:vAlign w:val="center"/>
          </w:tcPr>
          <w:p w:rsidR="0025361C" w:rsidRDefault="00CD5DF8" w:rsidP="005E567C">
            <w:pPr>
              <w:snapToGrid/>
              <w:spacing w:beforeLines="20" w:afterLines="20"/>
              <w:jc w:val="center"/>
              <w:rPr>
                <w:rFonts w:ascii="方正仿宋简体" w:eastAsia="方正仿宋简体"/>
                <w:sz w:val="24"/>
                <w:szCs w:val="24"/>
              </w:rPr>
            </w:pPr>
            <w:r>
              <w:rPr>
                <w:rFonts w:ascii="方正仿宋简体" w:eastAsia="方正仿宋简体" w:hint="eastAsia"/>
                <w:sz w:val="24"/>
                <w:szCs w:val="24"/>
              </w:rPr>
              <w:t>阶段</w:t>
            </w:r>
          </w:p>
        </w:tc>
        <w:tc>
          <w:tcPr>
            <w:tcW w:w="2095" w:type="dxa"/>
            <w:vAlign w:val="center"/>
          </w:tcPr>
          <w:p w:rsidR="0025361C" w:rsidRDefault="00CD5DF8" w:rsidP="005E567C">
            <w:pPr>
              <w:snapToGrid/>
              <w:spacing w:beforeLines="20" w:afterLines="20"/>
              <w:jc w:val="center"/>
              <w:rPr>
                <w:rFonts w:ascii="方正仿宋简体" w:eastAsia="方正仿宋简体"/>
                <w:sz w:val="24"/>
                <w:szCs w:val="24"/>
              </w:rPr>
            </w:pPr>
            <w:r>
              <w:rPr>
                <w:rFonts w:ascii="方正仿宋简体" w:eastAsia="方正仿宋简体" w:hint="eastAsia"/>
                <w:sz w:val="24"/>
                <w:szCs w:val="24"/>
              </w:rPr>
              <w:t>内部销售代码</w:t>
            </w:r>
          </w:p>
        </w:tc>
        <w:tc>
          <w:tcPr>
            <w:tcW w:w="2322" w:type="dxa"/>
            <w:vAlign w:val="center"/>
          </w:tcPr>
          <w:p w:rsidR="0025361C" w:rsidRDefault="00CD5DF8" w:rsidP="005E567C">
            <w:pPr>
              <w:snapToGrid/>
              <w:spacing w:beforeLines="20" w:afterLines="20"/>
              <w:jc w:val="center"/>
              <w:rPr>
                <w:rFonts w:ascii="方正仿宋简体" w:eastAsia="方正仿宋简体"/>
                <w:sz w:val="24"/>
                <w:szCs w:val="24"/>
              </w:rPr>
            </w:pPr>
            <w:r>
              <w:rPr>
                <w:rFonts w:ascii="方正仿宋简体" w:eastAsia="方正仿宋简体" w:hint="eastAsia"/>
                <w:sz w:val="24"/>
                <w:szCs w:val="24"/>
              </w:rPr>
              <w:t>业绩比较基准</w:t>
            </w:r>
          </w:p>
        </w:tc>
      </w:tr>
      <w:tr>
        <w:trPr>
          <w:jc w:val="center"/>
        </w:trPr>
        <w:tc>
          <w:tcPr>
            <w:tcW w:w="4485" w:type="dxa"/>
            <w:vAlign w:val="center"/>
            <w:vAlign w:val="center"/>
          </w:tcPr>
          <w:p>
            <w:pPr>
              <w:snapToGrid/>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2026年04月01日 - 2026年06月30日</w:t>
            </w:r>
          </w:p>
        </w:tc>
        <w:tc>
          <w:tcPr>
            <w:tcW w:w="2095" w:type="dxa"/>
            <w:vAlign w:val="center"/>
            <w:vAlign w:val="center"/>
          </w:tcPr>
          <w:p>
            <w:pPr>
              <w:snapToGrid/>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A33004</w:t>
            </w:r>
          </w:p>
        </w:tc>
        <w:tc>
          <w:tcPr>
            <w:tcW w:w="2322" w:type="dxa"/>
            <w:vAlign w:val="center"/>
            <w:vAlign w:val="center"/>
          </w:tcPr>
          <w:p>
            <w:pPr>
              <w:snapToGrid/>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-0.15%</w:t>
            </w:r>
          </w:p>
        </w:tc>
      </w:tr>
      <w:tr>
        <w:trPr>
          <w:jc w:val="center"/>
        </w:trPr>
        <w:tc>
          <w:tcPr>
            <w:tcW w:w="4485" w:type="dxa"/>
            <w:vAlign w:val="center"/>
            <w:vAlign w:val="center"/>
          </w:tcPr>
          <w:p>
            <w:pPr>
              <w:snapToGrid/>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2026年04月01日 - 2026年06月30日</w:t>
            </w:r>
          </w:p>
        </w:tc>
        <w:tc>
          <w:tcPr>
            <w:tcW w:w="2095" w:type="dxa"/>
            <w:vAlign w:val="center"/>
            <w:vAlign w:val="center"/>
          </w:tcPr>
          <w:p>
            <w:pPr>
              <w:snapToGrid/>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A33006</w:t>
            </w:r>
          </w:p>
        </w:tc>
        <w:tc>
          <w:tcPr>
            <w:tcW w:w="2322" w:type="dxa"/>
            <w:vAlign w:val="center"/>
            <w:vAlign w:val="center"/>
          </w:tcPr>
          <w:p>
            <w:pPr>
              <w:snapToGrid/>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-0.15%</w:t>
            </w:r>
          </w:p>
        </w:tc>
      </w:tr>
    </w:tbl>
    <w:p w:rsidR="0025361C" w:rsidRDefault="0025361C">
      <w:pPr>
        <w:spacing w:before="240" w:after="72" w:line="360" w:lineRule="auto"/>
        <w:rPr>
          <w:rFonts w:ascii="方正仿宋_GBK" w:eastAsia="方正仿宋_GBK"/>
          <w:sz w:val="24"/>
          <w:szCs w:val="24"/>
        </w:rPr>
      </w:pPr>
    </w:p>
    <w:p w:rsidR="0025361C" w:rsidRDefault="00CD5DF8">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3  </w:t>
      </w:r>
      <w:r>
        <w:rPr>
          <w:rFonts w:ascii="方正仿宋简体" w:eastAsia="方正仿宋简体" w:hint="eastAsia"/>
          <w:b/>
          <w:sz w:val="24"/>
          <w:szCs w:val="24"/>
        </w:rPr>
        <w:t>管理人报告</w:t>
      </w:r>
    </w:p>
    <w:p w:rsidR="0025361C" w:rsidRDefault="00CD5DF8">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3.1 </w:t>
      </w:r>
      <w:r>
        <w:rPr>
          <w:rFonts w:ascii="方正仿宋简体" w:eastAsia="方正仿宋简体" w:hint="eastAsia"/>
          <w:b/>
          <w:sz w:val="24"/>
          <w:szCs w:val="24"/>
        </w:rPr>
        <w:t>报告期内产品的投资策略和运作分析</w:t>
      </w:r>
      <w:r>
        <w:rPr>
          <w:rFonts w:ascii="方正仿宋简体" w:eastAsia="方正仿宋简体" w:hint="eastAsia"/>
          <w:b/>
          <w:sz w:val="24"/>
          <w:szCs w:val="24"/>
        </w:rPr>
        <w:tab/>
      </w:r>
    </w:p>
    <w:p w:rsidR="0025361C" w:rsidRDefault="00CD5DF8">
      <w:pPr>
        <w:spacing w:before="240" w:after="72" w:line="360" w:lineRule="auto"/>
        <w:rPr>
          <w:rFonts w:ascii="方正仿宋简体" w:eastAsia="方正仿宋简体"/>
          <w:sz w:val="24"/>
          <w:szCs w:val="24"/>
        </w:rPr>
      </w:pPr>
      <w:r>
        <w:rPr>
          <w:rFonts w:ascii="方正仿宋简体" w:eastAsia="方正仿宋简体" w:hint="eastAsia"/>
          <w:sz w:val="24"/>
          <w:szCs w:val="24"/>
        </w:rPr>
        <w:t>  今年二季度产品操作稳健偏积极。二季度债券市场走势震荡偏强，利率债区间横盘震荡、信用债继续走强，信用利差持续压缩。通胀数据抬升、估值低位等机构预防性调仓因素引发了阶段性的小幅波动，但全季度资金面整体维持宽松，非银流动性也保持充裕，债券市场总体仍带来了不错的收益贡献。随着市场收益率进一步下台阶，二季度产品运作过程中操作从一季度的积极思路逐渐略转回中性，产品层面在二季度末边际下降了杠杆及久期水平，同时把握了一些利率及二级资本债的交易机会，目前的组合情况为后续的市场机会预留了一定的加仓空间。另外，在市场上涨过程中减持了部分性价比偏弱的个券降低低效仓位，通过置换部分持仓，提升组合静态。下一阶段，产品将继续围绕稳健回报的收益目标进行操作，审慎精选票息品种，久期根据对宏观基本面的判断灵活调整，及时做好市场走势的跟踪与研判，挖掘潜在投资机会。</w:t>
      </w:r>
    </w:p>
    <w:p w:rsidR="0025361C" w:rsidRDefault="00CD5DF8">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3.2 </w:t>
      </w:r>
      <w:r>
        <w:rPr>
          <w:rFonts w:ascii="方正仿宋简体" w:eastAsia="方正仿宋简体" w:hint="eastAsia"/>
          <w:b/>
          <w:sz w:val="24"/>
          <w:szCs w:val="24"/>
        </w:rPr>
        <w:t>报告期内产品的流动性风险分析</w:t>
      </w:r>
    </w:p>
    <w:p w:rsidR="0025361C" w:rsidRDefault="00CD5DF8">
      <w:pPr>
        <w:spacing w:before="240" w:after="72" w:line="360" w:lineRule="auto"/>
        <w:rPr>
          <w:rFonts w:ascii="方正仿宋简体" w:eastAsia="方正仿宋简体"/>
          <w:sz w:val="24"/>
          <w:szCs w:val="24"/>
        </w:rPr>
      </w:pPr>
      <w:r>
        <w:rPr>
          <w:rFonts w:ascii="方正仿宋简体" w:eastAsia="方正仿宋简体"/>
          <w:sz w:val="24"/>
          <w:szCs w:val="24"/>
        </w:rPr>
        <w:t>  今年二季度以来，资金环境整体维持宽松。产品保留了合理的流动性资产仓位以应对时点性的市场波动。下阶段产品将继续保持稳健的投资风格，在风险可控的前提下灵活运用杠杆，合理排布融资期限。同时关注市场各关键时点资金波动情况，做好流动性预判和资产到期分布安排，提前做好应对方案，防范流动性风险。</w:t>
      </w:r>
    </w:p>
    <w:p w:rsidR="0025361C" w:rsidRDefault="00CD5DF8">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3.3 </w:t>
      </w:r>
      <w:r>
        <w:rPr>
          <w:rFonts w:ascii="方正仿宋简体" w:eastAsia="方正仿宋简体" w:hint="eastAsia"/>
          <w:b/>
          <w:sz w:val="24"/>
          <w:szCs w:val="24"/>
        </w:rPr>
        <w:t>报告期内产品的业绩表现</w:t>
      </w:r>
    </w:p>
    <w:p w:rsidR="0025361C" w:rsidRDefault="00CD5DF8">
      <w:pPr>
        <w:snapToGrid/>
        <w:spacing w:before="240" w:after="72" w:line="360" w:lineRule="auto"/>
        <w:ind w:firstLineChars="200" w:firstLine="480"/>
        <w:jc w:val="both"/>
        <w:rPr>
          <w:rFonts w:ascii="方正仿宋简体" w:eastAsia="方正仿宋简体"/>
          <w:sz w:val="24"/>
          <w:szCs w:val="24"/>
        </w:rPr>
      </w:pPr>
      <w:r>
        <w:rPr>
          <w:rFonts w:ascii="方正仿宋简体" w:eastAsia="方正仿宋简体" w:hint="eastAsia"/>
          <w:sz w:val="24"/>
          <w:szCs w:val="24"/>
        </w:rPr>
        <w:t>截至报告期末，本产品</w:t>
      </w:r>
      <w:r>
        <w:rPr>
          <w:rFonts w:ascii="方正仿宋简体" w:eastAsia="方正仿宋简体" w:hint="eastAsia"/>
          <w:sz w:val="24"/>
          <w:szCs w:val="24"/>
        </w:rPr>
        <w:t>A33004份额净值为1.020989元，A33006份额净值为1.026141</w:t>
      </w:r>
      <w:r>
        <w:rPr>
          <w:rFonts w:ascii="方正仿宋简体" w:eastAsia="方正仿宋简体" w:hint="eastAsia"/>
          <w:sz w:val="24"/>
          <w:szCs w:val="24"/>
        </w:rPr>
        <w:t>元。</w:t>
      </w:r>
    </w:p>
    <w:p w:rsidR="0025361C" w:rsidRDefault="0025361C">
      <w:pPr>
        <w:spacing w:before="240" w:after="72" w:line="360" w:lineRule="auto"/>
        <w:rPr>
          <w:rFonts w:ascii="方正仿宋_GBK" w:eastAsia="方正仿宋_GBK" w:hAnsi="宋体"/>
          <w:sz w:val="24"/>
          <w:szCs w:val="24"/>
        </w:rPr>
      </w:pPr>
    </w:p>
    <w:p w:rsidR="0025361C" w:rsidRDefault="00CD5DF8">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4  </w:t>
      </w:r>
      <w:r>
        <w:rPr>
          <w:rFonts w:ascii="方正仿宋简体" w:eastAsia="方正仿宋简体" w:hint="eastAsia"/>
          <w:b/>
          <w:sz w:val="24"/>
          <w:szCs w:val="24"/>
        </w:rPr>
        <w:t>投资组合报告</w:t>
      </w:r>
    </w:p>
    <w:p w:rsidR="0025361C" w:rsidRDefault="00CD5DF8">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4.1 </w:t>
      </w:r>
      <w:r>
        <w:rPr>
          <w:rFonts w:ascii="方正仿宋简体" w:eastAsia="方正仿宋简体" w:hint="eastAsia"/>
          <w:b/>
          <w:sz w:val="24"/>
          <w:szCs w:val="24"/>
        </w:rPr>
        <w:t>报告期末产品资产组合情况</w:t>
      </w:r>
    </w:p>
    <w:tbl>
      <w:tblPr>
        <w:tblpPr w:leftFromText="180" w:rightFromText="180" w:vertAnchor="text" w:tblpXSpec="center" w:tblpY="1"/>
        <w:tblOverlap w:val="never"/>
        <w:tblW w:w="8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45"/>
        <w:gridCol w:w="1859"/>
        <w:gridCol w:w="3002"/>
        <w:gridCol w:w="3289"/>
      </w:tblGrid>
      <w:tr w:rsidR="0025361C">
        <w:tc>
          <w:tcPr>
            <w:tcW w:w="745"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85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资产类别</w:t>
            </w:r>
          </w:p>
        </w:tc>
        <w:tc>
          <w:tcPr>
            <w:tcW w:w="3002"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穿透前占总资产比例</w:t>
            </w:r>
          </w:p>
        </w:tc>
        <w:tc>
          <w:tcPr>
            <w:tcW w:w="328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穿透后占总资产比例</w:t>
            </w:r>
          </w:p>
        </w:tc>
      </w:tr>
      <w:tr w:rsidR="0025361C">
        <w:tc>
          <w:tcPr>
            <w:tcW w:w="745"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1</w:t>
            </w:r>
          </w:p>
        </w:tc>
        <w:tc>
          <w:tcPr>
            <w:tcW w:w="185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固定收益类</w:t>
            </w:r>
          </w:p>
        </w:tc>
        <w:tc>
          <w:tcPr>
            <w:tcW w:w="3002"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97.78%</w:t>
            </w:r>
          </w:p>
        </w:tc>
        <w:tc>
          <w:tcPr>
            <w:tcW w:w="328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90.59%</w:t>
            </w:r>
          </w:p>
        </w:tc>
      </w:tr>
      <w:tr w:rsidR="0025361C">
        <w:tc>
          <w:tcPr>
            <w:tcW w:w="745"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2</w:t>
            </w:r>
          </w:p>
        </w:tc>
        <w:tc>
          <w:tcPr>
            <w:tcW w:w="185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权益类</w:t>
            </w:r>
          </w:p>
        </w:tc>
        <w:tc>
          <w:tcPr>
            <w:tcW w:w="3002"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0.73%</w:t>
            </w:r>
          </w:p>
        </w:tc>
        <w:tc>
          <w:tcPr>
            <w:tcW w:w="328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9.41%</w:t>
            </w:r>
          </w:p>
        </w:tc>
      </w:tr>
      <w:tr w:rsidR="0025361C">
        <w:tc>
          <w:tcPr>
            <w:tcW w:w="745"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3</w:t>
            </w:r>
          </w:p>
        </w:tc>
        <w:tc>
          <w:tcPr>
            <w:tcW w:w="185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商品及金融衍生品类</w:t>
            </w:r>
          </w:p>
        </w:tc>
        <w:tc>
          <w:tcPr>
            <w:tcW w:w="3002"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c>
          <w:tcPr>
            <w:tcW w:w="328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25361C">
        <w:tc>
          <w:tcPr>
            <w:tcW w:w="745"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4</w:t>
            </w:r>
          </w:p>
        </w:tc>
        <w:tc>
          <w:tcPr>
            <w:tcW w:w="185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混合类</w:t>
            </w:r>
          </w:p>
        </w:tc>
        <w:tc>
          <w:tcPr>
            <w:tcW w:w="3002"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1.49%</w:t>
            </w:r>
          </w:p>
        </w:tc>
        <w:tc>
          <w:tcPr>
            <w:tcW w:w="328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0.00%</w:t>
            </w:r>
          </w:p>
        </w:tc>
      </w:tr>
      <w:tr w:rsidR="0025361C">
        <w:tc>
          <w:tcPr>
            <w:tcW w:w="745"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5</w:t>
            </w:r>
          </w:p>
        </w:tc>
        <w:tc>
          <w:tcPr>
            <w:tcW w:w="185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合计</w:t>
            </w:r>
          </w:p>
        </w:tc>
        <w:tc>
          <w:tcPr>
            <w:tcW w:w="3002"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c>
          <w:tcPr>
            <w:tcW w:w="3289" w:type="dxa"/>
            <w:tcBorders>
              <w:top w:val="single" w:sz="4" w:space="0" w:color="auto"/>
              <w:left w:val="single" w:sz="4" w:space="0" w:color="auto"/>
              <w:bottom w:val="single" w:sz="4" w:space="0" w:color="auto"/>
              <w:right w:val="single" w:sz="4" w:space="0" w:color="auto"/>
            </w:tcBorders>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100.00%</w:t>
            </w:r>
          </w:p>
        </w:tc>
      </w:tr>
    </w:tbl>
    <w:p w:rsidR="0025361C" w:rsidRDefault="0025361C">
      <w:pPr>
        <w:spacing w:before="240" w:after="72" w:line="360" w:lineRule="auto"/>
        <w:rPr>
          <w:rFonts w:ascii="方正仿宋_GBK" w:eastAsia="方正仿宋_GBK"/>
          <w:sz w:val="24"/>
          <w:szCs w:val="24"/>
        </w:rPr>
      </w:pPr>
    </w:p>
    <w:p w:rsidR="0025361C" w:rsidRDefault="00CD5DF8">
      <w:pPr>
        <w:spacing w:before="240" w:after="72" w:line="360" w:lineRule="auto"/>
        <w:rPr>
          <w:rFonts w:ascii="方正仿宋简体" w:eastAsia="方正仿宋简体"/>
          <w:b/>
          <w:sz w:val="24"/>
          <w:szCs w:val="24"/>
        </w:rPr>
      </w:pPr>
      <w:r>
        <w:rPr>
          <w:rFonts w:ascii="方正仿宋简体" w:eastAsia="方正仿宋简体" w:hint="eastAsia"/>
          <w:b/>
          <w:sz w:val="24"/>
          <w:szCs w:val="24"/>
        </w:rPr>
        <w:t xml:space="preserve">4.2 </w:t>
      </w:r>
      <w:r>
        <w:rPr>
          <w:rFonts w:ascii="方正仿宋简体" w:eastAsia="方正仿宋简体" w:hint="eastAsia"/>
          <w:b/>
          <w:sz w:val="24"/>
          <w:szCs w:val="24"/>
        </w:rPr>
        <w:t>报告期末按公允价值占产品资产净值比例大小排序的前十名资产投资明细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750"/>
        <w:gridCol w:w="1581"/>
        <w:gridCol w:w="2712"/>
        <w:gridCol w:w="2052"/>
        <w:gridCol w:w="1807"/>
      </w:tblGrid>
      <w:tr w:rsidR="0025361C">
        <w:trPr>
          <w:trHeight w:val="1233"/>
          <w:jc w:val="center"/>
        </w:trPr>
        <w:tc>
          <w:tcPr>
            <w:tcW w:w="750"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81"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代码</w:t>
            </w:r>
          </w:p>
        </w:tc>
        <w:tc>
          <w:tcPr>
            <w:tcW w:w="2712"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名称</w:t>
            </w:r>
          </w:p>
        </w:tc>
        <w:tc>
          <w:tcPr>
            <w:tcW w:w="2052"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公允价值（元）</w:t>
            </w:r>
          </w:p>
        </w:tc>
        <w:tc>
          <w:tcPr>
            <w:tcW w:w="1807"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占产品资产净值比例（％）</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ZJQTT202404010021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国投泰康信托福佳8号集合资金信托计划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1,131,946,246.59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13.77</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ZJQTT202306290002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国联基金-鑫福2号集合资产管理计划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1,085,198,534.59</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13.20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ZJQTT202506270001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陆家嘴信托-陆享20号集合资金信托计划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949,774,717.67</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11.55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852,015,617.95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10.36</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5</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ZJQTT202506250001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中诚信托-日日升7号集合资金信托计划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618,854,812.55</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7.53</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6</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ZJQTT202309270021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中粮信托-鼎兴7号集合资金信托计划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374,169,414.93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4.55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7</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ZJQTT202302210001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外贸信托-鑫华优享2号证券投资集合资金信托计划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353,588,832.51</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4.30</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XJCKX202312190022</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浦发银行南京分行活期存款</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292,141,884.68</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3.55</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9</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ZJQTT202210190001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招商基金-安鑫2号集合资产管理计划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266,208,703.03</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3.24</w:t>
            </w:r>
          </w:p>
        </w:tc>
      </w:tr>
      <w:tr>
        <w:trPr>
          <w:trHeight w:val="583"/>
          <w:jc w:val="center"/>
        </w:trPr>
        <w:tc>
          <w:tcPr>
            <w:tcW w:w="750"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w:t>
            </w:r>
          </w:p>
        </w:tc>
        <w:tc>
          <w:tcPr>
            <w:tcW w:w="1581" w:type="dxa"/>
            <w:shd w:val="clear" w:color="auto" w:fill="auto"/>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ZJQTT202603170001</w:t>
            </w:r>
          </w:p>
        </w:tc>
        <w:tc>
          <w:tcPr>
            <w:tcW w:w="271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天弘基金弘丰1号集合资产管理计划</w:t>
            </w:r>
          </w:p>
        </w:tc>
        <w:tc>
          <w:tcPr>
            <w:tcW w:w="2052"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200,198,767.64</w:t>
            </w:r>
          </w:p>
        </w:tc>
        <w:tc>
          <w:tcPr>
            <w:tcW w:w="1807" w:type="dxa"/>
            <w:shd w:val="clear" w:color="000000" w:fill="FFFFFF"/>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2.44</w:t>
            </w:r>
          </w:p>
        </w:tc>
      </w:tr>
    </w:tbl>
    <w:p w:rsidR="0025361C" w:rsidRDefault="0025361C">
      <w:pPr>
        <w:spacing w:before="240" w:after="72" w:line="360" w:lineRule="auto"/>
        <w:rPr>
          <w:rFonts w:ascii="方正仿宋_GBK" w:eastAsia="方正仿宋_GBK" w:hAnsi="宋体" w:cs="宋体"/>
          <w:sz w:val="24"/>
          <w:szCs w:val="24"/>
          <w:shd w:val="clear" w:color="auto" w:fill="FFFFFF"/>
        </w:rPr>
      </w:pPr>
    </w:p>
    <w:p w:rsidR="0025361C" w:rsidRDefault="00CD5DF8">
      <w:pPr>
        <w:spacing w:before="240" w:after="72" w:line="360" w:lineRule="auto"/>
        <w:rPr>
          <w:rFonts w:ascii="方正仿宋简体" w:eastAsia="方正仿宋简体"/>
          <w:b/>
          <w:sz w:val="24"/>
          <w:szCs w:val="24"/>
        </w:rPr>
      </w:pPr>
      <w:r>
        <w:rPr>
          <w:rFonts w:ascii="方正仿宋简体" w:eastAsia="方正仿宋简体" w:hint="eastAsia"/>
          <w:b/>
          <w:sz w:val="24"/>
          <w:szCs w:val="24"/>
        </w:rPr>
        <w:t>4.3</w:t>
      </w:r>
      <w:r>
        <w:rPr>
          <w:rFonts w:ascii="方正仿宋简体" w:eastAsia="方正仿宋简体" w:hint="eastAsia"/>
          <w:b/>
          <w:sz w:val="24"/>
          <w:szCs w:val="24"/>
        </w:rPr>
        <w:t>报告期末非标准化债权类资产明细</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63"/>
        <w:gridCol w:w="1671"/>
        <w:gridCol w:w="1252"/>
        <w:gridCol w:w="1511"/>
        <w:gridCol w:w="1357"/>
        <w:gridCol w:w="1248"/>
        <w:gridCol w:w="1000"/>
      </w:tblGrid>
      <w:tr w:rsidR="0025361C">
        <w:trPr>
          <w:trHeight w:val="1078"/>
          <w:jc w:val="center"/>
        </w:trPr>
        <w:tc>
          <w:tcPr>
            <w:tcW w:w="863"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671"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融资客户</w:t>
            </w:r>
          </w:p>
        </w:tc>
        <w:tc>
          <w:tcPr>
            <w:tcW w:w="1252"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项目名称</w:t>
            </w:r>
          </w:p>
        </w:tc>
        <w:tc>
          <w:tcPr>
            <w:tcW w:w="1511"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剩余融资期限（</w:t>
            </w:r>
            <w:r>
              <w:rPr>
                <w:rFonts w:ascii="方正仿宋简体" w:eastAsia="方正仿宋简体"/>
                <w:sz w:val="24"/>
                <w:szCs w:val="24"/>
              </w:rPr>
              <w:t>天）</w:t>
            </w:r>
          </w:p>
        </w:tc>
        <w:tc>
          <w:tcPr>
            <w:tcW w:w="1357"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到期收益分配</w:t>
            </w:r>
          </w:p>
        </w:tc>
        <w:tc>
          <w:tcPr>
            <w:tcW w:w="1248"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交易结构</w:t>
            </w:r>
          </w:p>
        </w:tc>
        <w:tc>
          <w:tcPr>
            <w:tcW w:w="1000"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风险状况</w:t>
            </w:r>
          </w:p>
        </w:tc>
      </w:tr>
      <w:tr>
        <w:trPr>
          <w:trHeight w:val="571"/>
          <w:jc w:val="center"/>
        </w:trPr>
        <w:tc>
          <w:tcPr>
            <w:tcW w:w="86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67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5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11"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35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4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00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25361C" w:rsidRDefault="0025361C">
      <w:pPr>
        <w:spacing w:before="240" w:after="72" w:line="360" w:lineRule="auto"/>
        <w:rPr>
          <w:rFonts w:ascii="方正仿宋_GBK" w:eastAsia="方正仿宋_GBK" w:hAnsi="宋体" w:cs="宋体"/>
          <w:sz w:val="24"/>
          <w:szCs w:val="24"/>
          <w:shd w:val="clear" w:color="auto" w:fill="FFFFFF"/>
        </w:rPr>
      </w:pPr>
    </w:p>
    <w:p w:rsidR="0025361C" w:rsidRDefault="00CD5DF8">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5 </w:t>
      </w:r>
      <w:r>
        <w:rPr>
          <w:rFonts w:ascii="方正仿宋简体" w:eastAsia="方正仿宋简体" w:hint="eastAsia"/>
          <w:b/>
          <w:sz w:val="24"/>
          <w:szCs w:val="24"/>
        </w:rPr>
        <w:t>投资账户信息</w:t>
      </w:r>
    </w:p>
    <w:tbl>
      <w:tblPr>
        <w:tblpPr w:leftFromText="180" w:rightFromText="180" w:vertAnchor="text" w:tblpXSpec="center" w:tblpY="1"/>
        <w:tblOverlap w:val="never"/>
        <w:tblW w:w="8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696"/>
        <w:gridCol w:w="1567"/>
        <w:gridCol w:w="2668"/>
        <w:gridCol w:w="1983"/>
        <w:gridCol w:w="1988"/>
      </w:tblGrid>
      <w:tr w:rsidR="0025361C">
        <w:trPr>
          <w:trHeight w:val="584"/>
          <w:jc w:val="center"/>
        </w:trPr>
        <w:tc>
          <w:tcPr>
            <w:tcW w:w="696"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567"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账户类型</w:t>
            </w:r>
          </w:p>
        </w:tc>
        <w:tc>
          <w:tcPr>
            <w:tcW w:w="2668"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账号</w:t>
            </w:r>
          </w:p>
        </w:tc>
        <w:tc>
          <w:tcPr>
            <w:tcW w:w="1983"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账户名称</w:t>
            </w:r>
          </w:p>
        </w:tc>
        <w:tc>
          <w:tcPr>
            <w:tcW w:w="1988"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开户单位</w:t>
            </w:r>
          </w:p>
        </w:tc>
      </w:tr>
      <w:tr>
        <w:trPr>
          <w:trHeight w:val="584"/>
          <w:jc w:val="center"/>
        </w:trPr>
        <w:tc>
          <w:tcPr>
            <w:tcW w:w="696"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56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托管账户</w:t>
            </w:r>
          </w:p>
        </w:tc>
        <w:tc>
          <w:tcPr>
            <w:tcW w:w="266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0101030000001318</w:t>
            </w:r>
          </w:p>
        </w:tc>
        <w:tc>
          <w:tcPr>
            <w:tcW w:w="1983"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南京银行南京分行南银理财鼎瑞悦稳灵活分红最低持有371天1号</w:t>
            </w:r>
          </w:p>
        </w:tc>
        <w:tc>
          <w:tcPr>
            <w:tcW w:w="1988"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w:t>
            </w:r>
          </w:p>
        </w:tc>
      </w:tr>
    </w:tbl>
    <w:p w:rsidR="0025361C" w:rsidRDefault="0025361C">
      <w:pPr>
        <w:spacing w:before="240" w:after="72" w:line="360" w:lineRule="auto"/>
        <w:rPr>
          <w:rFonts w:ascii="方正仿宋_GBK" w:eastAsia="方正仿宋_GBK"/>
          <w:sz w:val="24"/>
          <w:szCs w:val="24"/>
        </w:rPr>
      </w:pPr>
    </w:p>
    <w:p w:rsidR="0025361C" w:rsidRDefault="00CD5DF8">
      <w:pPr>
        <w:spacing w:before="240" w:after="72" w:line="360" w:lineRule="auto"/>
        <w:jc w:val="center"/>
        <w:rPr>
          <w:rFonts w:ascii="方正仿宋简体" w:eastAsia="方正仿宋简体"/>
          <w:b/>
          <w:sz w:val="24"/>
          <w:szCs w:val="24"/>
        </w:rPr>
      </w:pPr>
      <w:r>
        <w:rPr>
          <w:rFonts w:ascii="方正仿宋简体" w:eastAsia="方正仿宋简体" w:hint="eastAsia"/>
          <w:b/>
          <w:sz w:val="24"/>
          <w:szCs w:val="24"/>
        </w:rPr>
        <w:t>§</w:t>
      </w:r>
      <w:r>
        <w:rPr>
          <w:rFonts w:ascii="方正仿宋简体" w:eastAsia="方正仿宋简体" w:hint="eastAsia"/>
          <w:b/>
          <w:sz w:val="24"/>
          <w:szCs w:val="24"/>
        </w:rPr>
        <w:t xml:space="preserve">6 </w:t>
      </w:r>
      <w:r>
        <w:rPr>
          <w:rFonts w:ascii="方正仿宋简体" w:eastAsia="方正仿宋简体" w:hint="eastAsia"/>
          <w:b/>
          <w:sz w:val="24"/>
          <w:szCs w:val="24"/>
        </w:rPr>
        <w:t>关联交易情况</w:t>
      </w:r>
    </w:p>
    <w:p w:rsidR="0025361C" w:rsidRDefault="005E567C">
      <w:pPr>
        <w:spacing w:before="240" w:after="72" w:line="360" w:lineRule="auto"/>
        <w:rPr>
          <w:rFonts w:ascii="方正仿宋简体" w:eastAsia="方正仿宋简体"/>
          <w:b/>
          <w:sz w:val="24"/>
          <w:szCs w:val="24"/>
        </w:rPr>
      </w:pPr>
      <w:r>
        <w:rPr>
          <w:rFonts w:ascii="方正仿宋简体" w:eastAsia="方正仿宋简体" w:hint="eastAsia"/>
          <w:b/>
          <w:sz w:val="24"/>
          <w:szCs w:val="24"/>
        </w:rPr>
        <w:t>6.1</w:t>
      </w:r>
      <w:r w:rsidR="00CD5DF8">
        <w:rPr>
          <w:rFonts w:ascii="方正仿宋简体" w:eastAsia="方正仿宋简体" w:hint="eastAsia"/>
          <w:b/>
          <w:sz w:val="24"/>
          <w:szCs w:val="24"/>
        </w:rPr>
        <w:t>产品投资于关联方发行的证券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25361C">
        <w:trPr>
          <w:trHeight w:val="534"/>
          <w:jc w:val="center"/>
        </w:trPr>
        <w:tc>
          <w:tcPr>
            <w:tcW w:w="877"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25361C">
        <w:trPr>
          <w:trHeight w:val="534"/>
          <w:jc w:val="center"/>
        </w:trPr>
        <w:tc>
          <w:tcPr>
            <w:tcW w:w="877" w:type="dxa"/>
            <w:vMerge/>
            <w:vAlign w:val="center"/>
          </w:tcPr>
          <w:p w:rsidR="0025361C" w:rsidRDefault="0025361C" w:rsidP="005E567C">
            <w:pPr>
              <w:spacing w:beforeLines="20" w:afterLines="20"/>
              <w:jc w:val="center"/>
            </w:pPr>
          </w:p>
        </w:tc>
        <w:tc>
          <w:tcPr>
            <w:tcW w:w="1704" w:type="dxa"/>
            <w:vMerge/>
            <w:vAlign w:val="center"/>
          </w:tcPr>
          <w:p w:rsidR="0025361C" w:rsidRDefault="0025361C" w:rsidP="005E567C">
            <w:pPr>
              <w:spacing w:beforeLines="20" w:afterLines="20"/>
              <w:jc w:val="center"/>
            </w:pPr>
          </w:p>
        </w:tc>
        <w:tc>
          <w:tcPr>
            <w:tcW w:w="1275" w:type="dxa"/>
            <w:vMerge/>
            <w:vAlign w:val="center"/>
          </w:tcPr>
          <w:p w:rsidR="0025361C" w:rsidRDefault="0025361C" w:rsidP="005E567C">
            <w:pPr>
              <w:spacing w:beforeLines="20" w:afterLines="20"/>
              <w:jc w:val="center"/>
            </w:pPr>
          </w:p>
        </w:tc>
        <w:tc>
          <w:tcPr>
            <w:tcW w:w="1540" w:type="dxa"/>
            <w:vMerge/>
            <w:vAlign w:val="center"/>
          </w:tcPr>
          <w:p w:rsidR="0025361C" w:rsidRDefault="0025361C" w:rsidP="005E567C">
            <w:pPr>
              <w:spacing w:beforeLines="20" w:afterLines="20"/>
              <w:jc w:val="center"/>
            </w:pPr>
          </w:p>
        </w:tc>
        <w:tc>
          <w:tcPr>
            <w:tcW w:w="1765"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w:t>
            </w:r>
          </w:p>
        </w:tc>
      </w:tr>
    </w:tbl>
    <w:p w:rsidR="0025361C" w:rsidRDefault="008C4C5A">
      <w:pPr>
        <w:spacing w:before="240" w:after="72" w:line="360" w:lineRule="auto"/>
        <w:rPr>
          <w:rFonts w:ascii="方正仿宋简体" w:eastAsia="方正仿宋简体"/>
          <w:b/>
          <w:sz w:val="24"/>
          <w:szCs w:val="24"/>
        </w:rPr>
      </w:pPr>
      <w:r>
        <w:rPr>
          <w:rFonts w:ascii="方正仿宋简体" w:eastAsia="方正仿宋简体" w:hint="eastAsia"/>
          <w:b/>
          <w:sz w:val="24"/>
          <w:szCs w:val="24"/>
        </w:rPr>
        <w:lastRenderedPageBreak/>
        <w:t>6.</w:t>
      </w:r>
      <w:r w:rsidR="00CD5DF8">
        <w:rPr>
          <w:rFonts w:ascii="方正仿宋简体" w:eastAsia="方正仿宋简体" w:hint="eastAsia"/>
          <w:b/>
          <w:sz w:val="24"/>
          <w:szCs w:val="24"/>
        </w:rPr>
        <w:t>2</w:t>
      </w:r>
      <w:r w:rsidR="00CD5DF8">
        <w:rPr>
          <w:rFonts w:ascii="方正仿宋简体" w:eastAsia="方正仿宋简体" w:hint="eastAsia"/>
          <w:b/>
          <w:sz w:val="24"/>
          <w:szCs w:val="24"/>
        </w:rPr>
        <w:t>产品投资于关联方承销的证券</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25361C">
        <w:trPr>
          <w:trHeight w:val="534"/>
          <w:jc w:val="center"/>
        </w:trPr>
        <w:tc>
          <w:tcPr>
            <w:tcW w:w="877"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资产</w:t>
            </w:r>
            <w:r>
              <w:rPr>
                <w:rFonts w:ascii="方正仿宋简体" w:eastAsia="方正仿宋简体" w:hint="eastAsia"/>
                <w:sz w:val="24"/>
                <w:szCs w:val="24"/>
              </w:rPr>
              <w:t>名称</w:t>
            </w:r>
          </w:p>
        </w:tc>
        <w:tc>
          <w:tcPr>
            <w:tcW w:w="1540"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资产代码</w:t>
            </w:r>
          </w:p>
        </w:tc>
        <w:tc>
          <w:tcPr>
            <w:tcW w:w="3530" w:type="dxa"/>
            <w:gridSpan w:val="2"/>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报告期内买入证券</w:t>
            </w:r>
          </w:p>
        </w:tc>
      </w:tr>
      <w:tr w:rsidR="0025361C">
        <w:trPr>
          <w:trHeight w:val="534"/>
          <w:jc w:val="center"/>
        </w:trPr>
        <w:tc>
          <w:tcPr>
            <w:tcW w:w="877" w:type="dxa"/>
            <w:vMerge/>
            <w:vAlign w:val="center"/>
          </w:tcPr>
          <w:p w:rsidR="0025361C" w:rsidRDefault="0025361C" w:rsidP="005E567C">
            <w:pPr>
              <w:spacing w:beforeLines="20" w:afterLines="20"/>
              <w:jc w:val="center"/>
            </w:pPr>
          </w:p>
        </w:tc>
        <w:tc>
          <w:tcPr>
            <w:tcW w:w="1704" w:type="dxa"/>
            <w:vMerge/>
            <w:vAlign w:val="center"/>
          </w:tcPr>
          <w:p w:rsidR="0025361C" w:rsidRDefault="0025361C" w:rsidP="005E567C">
            <w:pPr>
              <w:spacing w:beforeLines="20" w:afterLines="20"/>
              <w:jc w:val="center"/>
            </w:pPr>
          </w:p>
        </w:tc>
        <w:tc>
          <w:tcPr>
            <w:tcW w:w="1275" w:type="dxa"/>
            <w:vMerge/>
            <w:vAlign w:val="center"/>
          </w:tcPr>
          <w:p w:rsidR="0025361C" w:rsidRDefault="0025361C" w:rsidP="005E567C">
            <w:pPr>
              <w:spacing w:beforeLines="20" w:afterLines="20"/>
              <w:jc w:val="center"/>
            </w:pPr>
          </w:p>
        </w:tc>
        <w:tc>
          <w:tcPr>
            <w:tcW w:w="1540" w:type="dxa"/>
            <w:vMerge/>
            <w:vAlign w:val="center"/>
          </w:tcPr>
          <w:p w:rsidR="0025361C" w:rsidRDefault="0025361C" w:rsidP="005E567C">
            <w:pPr>
              <w:spacing w:beforeLines="20" w:afterLines="20"/>
              <w:jc w:val="center"/>
            </w:pPr>
          </w:p>
        </w:tc>
        <w:tc>
          <w:tcPr>
            <w:tcW w:w="1765"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江苏江南农村商业银行股份有限公司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26丹投MTN007</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102682328</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400000.00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40002016.44</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23汉盛建设PPN001(项目收益)</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032380391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400000.00</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39984002.74</w:t>
            </w:r>
          </w:p>
        </w:tc>
      </w:tr>
    </w:tbl>
    <w:p w:rsidR="0025361C" w:rsidRDefault="0088219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CD5DF8">
        <w:rPr>
          <w:rFonts w:ascii="方正仿宋简体" w:eastAsia="方正仿宋简体" w:hint="eastAsia"/>
          <w:b/>
          <w:sz w:val="24"/>
          <w:szCs w:val="24"/>
        </w:rPr>
        <w:t>3</w:t>
      </w:r>
      <w:r w:rsidR="00CD5DF8">
        <w:rPr>
          <w:rFonts w:ascii="方正仿宋简体" w:eastAsia="方正仿宋简体" w:hint="eastAsia"/>
          <w:b/>
          <w:sz w:val="24"/>
          <w:szCs w:val="24"/>
        </w:rPr>
        <w:t>产品投资于关联方发行的资产管理产品</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1704"/>
        <w:gridCol w:w="1275"/>
        <w:gridCol w:w="1540"/>
        <w:gridCol w:w="1765"/>
        <w:gridCol w:w="1765"/>
      </w:tblGrid>
      <w:tr w:rsidR="0025361C">
        <w:trPr>
          <w:trHeight w:val="534"/>
          <w:jc w:val="center"/>
        </w:trPr>
        <w:tc>
          <w:tcPr>
            <w:tcW w:w="877"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1704"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关联方名称</w:t>
            </w:r>
          </w:p>
        </w:tc>
        <w:tc>
          <w:tcPr>
            <w:tcW w:w="1275"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资产管理产品名称</w:t>
            </w:r>
          </w:p>
        </w:tc>
        <w:tc>
          <w:tcPr>
            <w:tcW w:w="1540" w:type="dxa"/>
            <w:vMerge w:val="restart"/>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资产管理产品代码</w:t>
            </w:r>
          </w:p>
        </w:tc>
        <w:tc>
          <w:tcPr>
            <w:tcW w:w="3530" w:type="dxa"/>
            <w:gridSpan w:val="2"/>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报告期内买入</w:t>
            </w:r>
            <w:bookmarkStart w:id="0" w:name="_GoBack"/>
            <w:bookmarkEnd w:id="0"/>
            <w:r>
              <w:rPr>
                <w:rFonts w:ascii="方正仿宋简体" w:eastAsia="方正仿宋简体" w:hint="eastAsia"/>
                <w:sz w:val="24"/>
                <w:szCs w:val="24"/>
              </w:rPr>
              <w:t>资产管理产品</w:t>
            </w:r>
          </w:p>
        </w:tc>
      </w:tr>
      <w:tr w:rsidR="0025361C">
        <w:trPr>
          <w:trHeight w:val="534"/>
          <w:jc w:val="center"/>
        </w:trPr>
        <w:tc>
          <w:tcPr>
            <w:tcW w:w="877" w:type="dxa"/>
            <w:vMerge/>
            <w:vAlign w:val="center"/>
          </w:tcPr>
          <w:p w:rsidR="0025361C" w:rsidRDefault="0025361C" w:rsidP="005E567C">
            <w:pPr>
              <w:spacing w:beforeLines="20" w:afterLines="20"/>
              <w:jc w:val="center"/>
            </w:pPr>
          </w:p>
        </w:tc>
        <w:tc>
          <w:tcPr>
            <w:tcW w:w="1704" w:type="dxa"/>
            <w:vMerge/>
            <w:vAlign w:val="center"/>
          </w:tcPr>
          <w:p w:rsidR="0025361C" w:rsidRDefault="0025361C" w:rsidP="005E567C">
            <w:pPr>
              <w:spacing w:beforeLines="20" w:afterLines="20"/>
              <w:jc w:val="center"/>
            </w:pPr>
          </w:p>
        </w:tc>
        <w:tc>
          <w:tcPr>
            <w:tcW w:w="1275" w:type="dxa"/>
            <w:vMerge/>
            <w:vAlign w:val="center"/>
          </w:tcPr>
          <w:p w:rsidR="0025361C" w:rsidRDefault="0025361C" w:rsidP="005E567C">
            <w:pPr>
              <w:spacing w:beforeLines="20" w:afterLines="20"/>
              <w:jc w:val="center"/>
            </w:pPr>
          </w:p>
        </w:tc>
        <w:tc>
          <w:tcPr>
            <w:tcW w:w="1540" w:type="dxa"/>
            <w:vMerge/>
            <w:vAlign w:val="center"/>
          </w:tcPr>
          <w:p w:rsidR="0025361C" w:rsidRDefault="0025361C" w:rsidP="005E567C">
            <w:pPr>
              <w:spacing w:beforeLines="20" w:afterLines="20"/>
              <w:jc w:val="center"/>
            </w:pPr>
          </w:p>
        </w:tc>
        <w:tc>
          <w:tcPr>
            <w:tcW w:w="1765"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数量（单位：张）</w:t>
            </w:r>
          </w:p>
        </w:tc>
        <w:tc>
          <w:tcPr>
            <w:tcW w:w="1765"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1704"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紫金信托有限责任公司</w:t>
            </w:r>
          </w:p>
        </w:tc>
        <w:tc>
          <w:tcPr>
            <w:tcW w:w="127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紫金信托合盛2号集合资金信托计划</w:t>
            </w:r>
          </w:p>
        </w:tc>
        <w:tc>
          <w:tcPr>
            <w:tcW w:w="154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ZJQTT202412040001</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803524111.72</w:t>
            </w:r>
          </w:p>
        </w:tc>
        <w:tc>
          <w:tcPr>
            <w:tcW w:w="1765"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808000000.00</w:t>
            </w:r>
          </w:p>
        </w:tc>
      </w:tr>
    </w:tbl>
    <w:p w:rsidR="0025361C" w:rsidRDefault="00882199">
      <w:pPr>
        <w:spacing w:before="240" w:after="72" w:line="360" w:lineRule="auto"/>
        <w:rPr>
          <w:rFonts w:ascii="方正仿宋简体" w:eastAsia="方正仿宋简体"/>
          <w:b/>
          <w:sz w:val="24"/>
          <w:szCs w:val="24"/>
        </w:rPr>
      </w:pPr>
      <w:r>
        <w:rPr>
          <w:rFonts w:ascii="方正仿宋简体" w:eastAsia="方正仿宋简体" w:hint="eastAsia"/>
          <w:b/>
          <w:sz w:val="24"/>
          <w:szCs w:val="24"/>
        </w:rPr>
        <w:t>6.</w:t>
      </w:r>
      <w:r w:rsidR="00CD5DF8">
        <w:rPr>
          <w:rFonts w:ascii="方正仿宋简体" w:eastAsia="方正仿宋简体" w:hint="eastAsia"/>
          <w:b/>
          <w:sz w:val="24"/>
          <w:szCs w:val="24"/>
        </w:rPr>
        <w:t>4</w:t>
      </w:r>
      <w:r w:rsidR="00CD5DF8">
        <w:rPr>
          <w:rFonts w:ascii="方正仿宋简体" w:eastAsia="方正仿宋简体" w:hint="eastAsia"/>
          <w:b/>
          <w:sz w:val="24"/>
          <w:szCs w:val="24"/>
        </w:rPr>
        <w:t>其他关联交易</w:t>
      </w:r>
    </w:p>
    <w:tbl>
      <w:tblPr>
        <w:tblpPr w:leftFromText="180" w:rightFromText="180" w:vertAnchor="text" w:tblpXSpec="center" w:tblpY="1"/>
        <w:tblOverlap w:val="neve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Borders>
          <w:top w:val="single" w:sz="1" w:color="000000"/>
          <w:left w:val="single" w:sz="1" w:color="000000"/>
          <w:bottom w:val="single" w:sz="1" w:color="000000"/>
          <w:right w:val="single" w:sz="1" w:color="000000"/>
        </w:tblBorders>
        <w:tblLayout w:type="fixed"/>
        <w:tblLook w:val="04A0"/>
      </w:tblPr>
      <w:tblGrid>
        <w:gridCol w:w="877"/>
        <w:gridCol w:w="2117"/>
        <w:gridCol w:w="3090"/>
        <w:gridCol w:w="2842"/>
      </w:tblGrid>
      <w:tr w:rsidR="0025361C">
        <w:trPr>
          <w:trHeight w:val="1048"/>
          <w:jc w:val="center"/>
        </w:trPr>
        <w:tc>
          <w:tcPr>
            <w:tcW w:w="877"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序号</w:t>
            </w:r>
          </w:p>
        </w:tc>
        <w:tc>
          <w:tcPr>
            <w:tcW w:w="2117"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交易类型</w:t>
            </w:r>
          </w:p>
        </w:tc>
        <w:tc>
          <w:tcPr>
            <w:tcW w:w="3090"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关联方</w:t>
            </w:r>
            <w:r>
              <w:rPr>
                <w:rFonts w:ascii="方正仿宋简体" w:eastAsia="方正仿宋简体" w:hint="eastAsia"/>
                <w:sz w:val="24"/>
                <w:szCs w:val="24"/>
              </w:rPr>
              <w:t>名称</w:t>
            </w:r>
          </w:p>
        </w:tc>
        <w:tc>
          <w:tcPr>
            <w:tcW w:w="2842" w:type="dxa"/>
            <w:vAlign w:val="center"/>
          </w:tcPr>
          <w:p w:rsidR="0025361C" w:rsidRDefault="00CD5DF8" w:rsidP="005E567C">
            <w:pPr>
              <w:spacing w:beforeLines="20" w:afterLines="20"/>
              <w:jc w:val="center"/>
              <w:rPr>
                <w:rFonts w:ascii="方正仿宋简体" w:eastAsia="方正仿宋简体"/>
                <w:sz w:val="24"/>
                <w:szCs w:val="24"/>
              </w:rPr>
            </w:pPr>
            <w:r>
              <w:rPr>
                <w:rFonts w:ascii="方正仿宋简体" w:eastAsia="方正仿宋简体" w:hint="eastAsia"/>
                <w:sz w:val="24"/>
                <w:szCs w:val="24"/>
              </w:rPr>
              <w:t>总金额（单位：元）</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2082149.53</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2</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代销费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日照银行</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123515.82</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托管费</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327109.99</w:t>
            </w:r>
          </w:p>
        </w:tc>
      </w:tr>
      <w:tr>
        <w:trPr>
          <w:trHeight w:val="571"/>
          <w:jc w:val="center"/>
        </w:trPr>
        <w:tc>
          <w:tcPr>
            <w:tcW w:w="87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4</w:t>
            </w:r>
          </w:p>
        </w:tc>
        <w:tc>
          <w:tcPr>
            <w:tcW w:w="2117"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其他服务费用</w:t>
            </w:r>
          </w:p>
        </w:tc>
        <w:tc>
          <w:tcPr>
            <w:tcW w:w="3090"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南京银行股份有限公司</w:t>
            </w:r>
          </w:p>
        </w:tc>
        <w:tc>
          <w:tcPr>
            <w:tcW w:w="2842" w:type="dxa"/>
            <w:vAlign w:val="center"/>
            <w:vAlign w:val="center"/>
          </w:tcPr>
          <w:p>
            <w:pPr>
              <w:spacing w:beforeLines="20" w:afterLines="20"/>
              <w:jc w:val="center"/>
              <w:textAlignment w:val="center"/>
              <w:rPr>
                <w:rFonts w:ascii="方正仿宋简体" w:eastAsia="方正仿宋简体"/>
                <w:sz w:val="24"/>
                <w:szCs w:val="24"/>
              </w:rPr>
            </w:pPr>
            <w:r>
              <w:rPr>
                <w:rFonts w:ascii="方正仿宋简体" w:hAnsi="方正仿宋简体" w:cs="方正仿宋简体" w:eastAsia="方正仿宋简体"/>
                <w:sz w:val="24"/>
              </w:rPr>
              <w:t>3000.00</w:t>
            </w:r>
          </w:p>
        </w:tc>
      </w:tr>
    </w:tbl>
    <w:p w:rsidR="0025361C" w:rsidRDefault="0025361C">
      <w:pPr>
        <w:spacing w:before="240" w:after="72" w:line="360" w:lineRule="auto"/>
        <w:rPr>
          <w:rFonts w:ascii="方正仿宋_GBK" w:eastAsia="方正仿宋_GBK" w:hAnsi="宋体" w:cs="宋体"/>
          <w:kern w:val="0"/>
          <w:sz w:val="24"/>
          <w:szCs w:val="24"/>
        </w:rPr>
      </w:pPr>
    </w:p>
    <w:p w:rsidR="0025361C" w:rsidRDefault="0025361C">
      <w:pPr>
        <w:spacing w:before="240" w:after="72" w:line="360" w:lineRule="auto"/>
        <w:jc w:val="right"/>
        <w:rPr>
          <w:rFonts w:ascii="方正仿宋_GBK" w:eastAsia="方正仿宋_GBK"/>
          <w:b/>
          <w:sz w:val="24"/>
          <w:szCs w:val="24"/>
        </w:rPr>
      </w:pPr>
    </w:p>
    <w:p w:rsidR="0025361C" w:rsidRDefault="00CD5DF8">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t>南银理财有限责任公司</w:t>
      </w:r>
    </w:p>
    <w:p w:rsidR="0025361C" w:rsidRDefault="00CD5DF8">
      <w:pPr>
        <w:spacing w:before="240" w:after="72" w:line="360" w:lineRule="auto"/>
        <w:jc w:val="right"/>
        <w:rPr>
          <w:rFonts w:ascii="方正仿宋简体" w:eastAsia="方正仿宋简体"/>
          <w:b/>
          <w:sz w:val="24"/>
          <w:szCs w:val="24"/>
        </w:rPr>
      </w:pPr>
      <w:r>
        <w:rPr>
          <w:rFonts w:ascii="方正仿宋简体" w:eastAsia="方正仿宋简体" w:hint="eastAsia"/>
          <w:b/>
          <w:sz w:val="24"/>
          <w:szCs w:val="24"/>
        </w:rPr>
        <w:t>2026年06月30日</w:t>
      </w:r>
    </w:p>
    <w:sectPr w:rsidR="0025361C" w:rsidSect="0025361C">
      <w:headerReference w:type="even" r:id="rId7"/>
      <w:headerReference w:type="default" r:id="rId8"/>
      <w:footerReference w:type="even" r:id="rId9"/>
      <w:footerReference w:type="default" r:id="rId10"/>
      <w:headerReference w:type="first" r:id="rId11"/>
      <w:footerReference w:type="first" r:id="rId12"/>
      <w:pgSz w:w="11926" w:h="16867"/>
      <w:pgMar w:top="1418" w:right="1418" w:bottom="853" w:left="1418"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5DF8" w:rsidRDefault="00CD5DF8" w:rsidP="005E567C">
      <w:pPr>
        <w:spacing w:after="72"/>
      </w:pPr>
      <w:r>
        <w:separator/>
      </w:r>
    </w:p>
  </w:endnote>
  <w:endnote w:type="continuationSeparator" w:id="1">
    <w:p w:rsidR="00CD5DF8" w:rsidRDefault="00CD5DF8" w:rsidP="005E567C">
      <w:pPr>
        <w:spacing w:after="7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黑体简体">
    <w:altName w:val="Arial Unicode MS"/>
    <w:charset w:val="86"/>
    <w:family w:val="script"/>
    <w:pitch w:val="default"/>
    <w:sig w:usb0="00000000" w:usb1="080E0000" w:usb2="00000000" w:usb3="00000000" w:csb0="00040000" w:csb1="00000000"/>
  </w:font>
  <w:font w:name="Calibri">
    <w:panose1 w:val="020F0502020204030204"/>
    <w:charset w:val="00"/>
    <w:family w:val="swiss"/>
    <w:pitch w:val="variable"/>
    <w:sig w:usb0="E10002FF" w:usb1="4000ACFF" w:usb2="00000009" w:usb3="00000000" w:csb0="0000019F" w:csb1="00000000"/>
  </w:font>
  <w:font w:name="方正仿宋简体">
    <w:altName w:val="Arial Unicode MS"/>
    <w:charset w:val="86"/>
    <w:family w:val="script"/>
    <w:pitch w:val="default"/>
    <w:sig w:usb0="00000000" w:usb1="080E0000" w:usb2="00000000" w:usb3="00000000" w:csb0="00040000" w:csb1="00000000"/>
  </w:font>
  <w:font w:name="方正仿宋_GBK">
    <w:altName w:val="Arial Unicode MS"/>
    <w:charset w:val="86"/>
    <w:family w:val="script"/>
    <w:pitch w:val="default"/>
    <w:sig w:usb0="00000000" w:usb1="080E0000" w:usb2="00000000" w:usb3="00000000" w:csb0="00040000" w:csb1="00000000"/>
  </w:font>
  <w:font w:name="Calibri Light">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61C" w:rsidRDefault="0025361C">
    <w:pPr>
      <w:pStyle w:val="a3"/>
      <w:framePr w:wrap="around" w:vAnchor="text" w:hAnchor="margin" w:xAlign="center" w:y="1"/>
      <w:spacing w:after="72"/>
      <w:rPr>
        <w:rStyle w:val="a6"/>
      </w:rPr>
    </w:pPr>
    <w:r>
      <w:fldChar w:fldCharType="begin"/>
    </w:r>
    <w:r w:rsidR="00CD5DF8">
      <w:rPr>
        <w:rStyle w:val="a6"/>
      </w:rPr>
      <w:instrText xml:space="preserve">PAGE  </w:instrText>
    </w:r>
    <w:r>
      <w:fldChar w:fldCharType="end"/>
    </w:r>
  </w:p>
  <w:p w:rsidR="0025361C" w:rsidRDefault="0025361C">
    <w:pPr>
      <w:pStyle w:val="a3"/>
      <w:spacing w:after="7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61C" w:rsidRDefault="0025361C">
    <w:pPr>
      <w:pStyle w:val="a3"/>
      <w:spacing w:after="7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61C" w:rsidRDefault="0025361C">
    <w:pPr>
      <w:pStyle w:val="a3"/>
      <w:spacing w:after="7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5DF8" w:rsidRDefault="00CD5DF8" w:rsidP="005E567C">
      <w:pPr>
        <w:spacing w:after="72"/>
      </w:pPr>
      <w:r>
        <w:separator/>
      </w:r>
    </w:p>
  </w:footnote>
  <w:footnote w:type="continuationSeparator" w:id="1">
    <w:p w:rsidR="00CD5DF8" w:rsidRDefault="00CD5DF8" w:rsidP="005E567C">
      <w:pPr>
        <w:spacing w:after="7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61C" w:rsidRDefault="0025361C">
    <w:pPr>
      <w:pStyle w:val="a4"/>
      <w:spacing w:after="7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61C" w:rsidRDefault="0025361C">
    <w:pPr>
      <w:pStyle w:val="a4"/>
      <w:spacing w:after="7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61C" w:rsidRDefault="0025361C">
    <w:pPr>
      <w:pStyle w:val="a4"/>
      <w:spacing w:after="72"/>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docVars>
    <w:docVar w:name="commondata" w:val="eyJoZGlkIjoiNWYyNWQ5MDZiYWM3OWVhN2E1ZmU3ZDVmOTg3Nzk4MzgifQ=="/>
  </w:docVars>
  <w:rsids>
    <w:rsidRoot w:val="005A7904"/>
    <w:rsid w:val="000044BE"/>
    <w:rsid w:val="000121D1"/>
    <w:rsid w:val="00012B94"/>
    <w:rsid w:val="00012CAC"/>
    <w:rsid w:val="000203D8"/>
    <w:rsid w:val="000215AD"/>
    <w:rsid w:val="00063EA9"/>
    <w:rsid w:val="00072345"/>
    <w:rsid w:val="00097C35"/>
    <w:rsid w:val="000B288D"/>
    <w:rsid w:val="000B2B7B"/>
    <w:rsid w:val="000B4524"/>
    <w:rsid w:val="000C61EE"/>
    <w:rsid w:val="00106906"/>
    <w:rsid w:val="0012494A"/>
    <w:rsid w:val="0013793E"/>
    <w:rsid w:val="00137D06"/>
    <w:rsid w:val="001421A0"/>
    <w:rsid w:val="0015692D"/>
    <w:rsid w:val="001765C7"/>
    <w:rsid w:val="0018311F"/>
    <w:rsid w:val="00210CF6"/>
    <w:rsid w:val="0021176D"/>
    <w:rsid w:val="00245BA0"/>
    <w:rsid w:val="00247E87"/>
    <w:rsid w:val="0025361C"/>
    <w:rsid w:val="00262B4B"/>
    <w:rsid w:val="002C44B3"/>
    <w:rsid w:val="002E0397"/>
    <w:rsid w:val="00303D68"/>
    <w:rsid w:val="0030434F"/>
    <w:rsid w:val="00320EE0"/>
    <w:rsid w:val="0032401B"/>
    <w:rsid w:val="0034796F"/>
    <w:rsid w:val="00352282"/>
    <w:rsid w:val="00355FD9"/>
    <w:rsid w:val="00375A11"/>
    <w:rsid w:val="0039556B"/>
    <w:rsid w:val="00395C1C"/>
    <w:rsid w:val="003C00A0"/>
    <w:rsid w:val="003D3C54"/>
    <w:rsid w:val="0040415E"/>
    <w:rsid w:val="00414B37"/>
    <w:rsid w:val="0041563E"/>
    <w:rsid w:val="00463146"/>
    <w:rsid w:val="004822D3"/>
    <w:rsid w:val="00486D6C"/>
    <w:rsid w:val="0049452A"/>
    <w:rsid w:val="004A024D"/>
    <w:rsid w:val="004C1007"/>
    <w:rsid w:val="004D7F94"/>
    <w:rsid w:val="004E5012"/>
    <w:rsid w:val="004F1BE6"/>
    <w:rsid w:val="004F595C"/>
    <w:rsid w:val="00505062"/>
    <w:rsid w:val="0055573F"/>
    <w:rsid w:val="00573EE2"/>
    <w:rsid w:val="005A7904"/>
    <w:rsid w:val="005B2789"/>
    <w:rsid w:val="005B5E17"/>
    <w:rsid w:val="005D04CF"/>
    <w:rsid w:val="005E567C"/>
    <w:rsid w:val="005F031B"/>
    <w:rsid w:val="005F7956"/>
    <w:rsid w:val="006053C4"/>
    <w:rsid w:val="00631F68"/>
    <w:rsid w:val="0063323A"/>
    <w:rsid w:val="00650C13"/>
    <w:rsid w:val="006754C1"/>
    <w:rsid w:val="0067684D"/>
    <w:rsid w:val="00676A68"/>
    <w:rsid w:val="0068398A"/>
    <w:rsid w:val="00693399"/>
    <w:rsid w:val="00695491"/>
    <w:rsid w:val="006C7930"/>
    <w:rsid w:val="007120E8"/>
    <w:rsid w:val="00714095"/>
    <w:rsid w:val="00717310"/>
    <w:rsid w:val="007347EF"/>
    <w:rsid w:val="007363F8"/>
    <w:rsid w:val="00751294"/>
    <w:rsid w:val="007620E9"/>
    <w:rsid w:val="00766941"/>
    <w:rsid w:val="007672C3"/>
    <w:rsid w:val="00794F8E"/>
    <w:rsid w:val="007C0575"/>
    <w:rsid w:val="007C36B2"/>
    <w:rsid w:val="007C3F1F"/>
    <w:rsid w:val="007C7DC4"/>
    <w:rsid w:val="007D7CB7"/>
    <w:rsid w:val="007E0C90"/>
    <w:rsid w:val="007E34F4"/>
    <w:rsid w:val="007F2C0A"/>
    <w:rsid w:val="007F53C8"/>
    <w:rsid w:val="008030B3"/>
    <w:rsid w:val="00810A55"/>
    <w:rsid w:val="00820973"/>
    <w:rsid w:val="0084718A"/>
    <w:rsid w:val="00850FCA"/>
    <w:rsid w:val="00870344"/>
    <w:rsid w:val="00882199"/>
    <w:rsid w:val="008833A7"/>
    <w:rsid w:val="00894D12"/>
    <w:rsid w:val="008C4C5A"/>
    <w:rsid w:val="008C7314"/>
    <w:rsid w:val="008F5BE6"/>
    <w:rsid w:val="009150F2"/>
    <w:rsid w:val="0093559E"/>
    <w:rsid w:val="00944F3B"/>
    <w:rsid w:val="009515A9"/>
    <w:rsid w:val="009663C6"/>
    <w:rsid w:val="009800BA"/>
    <w:rsid w:val="009904D8"/>
    <w:rsid w:val="009D0C1A"/>
    <w:rsid w:val="009D656A"/>
    <w:rsid w:val="009D6737"/>
    <w:rsid w:val="009D6D5E"/>
    <w:rsid w:val="009E2AE4"/>
    <w:rsid w:val="009E6E45"/>
    <w:rsid w:val="009F0D8D"/>
    <w:rsid w:val="009F7125"/>
    <w:rsid w:val="00A112F8"/>
    <w:rsid w:val="00A12D79"/>
    <w:rsid w:val="00A274D5"/>
    <w:rsid w:val="00A55DE1"/>
    <w:rsid w:val="00A60FAC"/>
    <w:rsid w:val="00A61A2A"/>
    <w:rsid w:val="00A72E96"/>
    <w:rsid w:val="00A81610"/>
    <w:rsid w:val="00AB2343"/>
    <w:rsid w:val="00AB6CFB"/>
    <w:rsid w:val="00AE2FD4"/>
    <w:rsid w:val="00B1693A"/>
    <w:rsid w:val="00B30356"/>
    <w:rsid w:val="00B31E80"/>
    <w:rsid w:val="00B54020"/>
    <w:rsid w:val="00B6100D"/>
    <w:rsid w:val="00B612B8"/>
    <w:rsid w:val="00B751B8"/>
    <w:rsid w:val="00B86655"/>
    <w:rsid w:val="00B91322"/>
    <w:rsid w:val="00B92DFA"/>
    <w:rsid w:val="00BA2C30"/>
    <w:rsid w:val="00BD00A8"/>
    <w:rsid w:val="00C17A02"/>
    <w:rsid w:val="00C62A28"/>
    <w:rsid w:val="00C872EF"/>
    <w:rsid w:val="00C945B6"/>
    <w:rsid w:val="00CA4B23"/>
    <w:rsid w:val="00CA4CDA"/>
    <w:rsid w:val="00CD5DF8"/>
    <w:rsid w:val="00D038A1"/>
    <w:rsid w:val="00D21AF8"/>
    <w:rsid w:val="00D35825"/>
    <w:rsid w:val="00D36374"/>
    <w:rsid w:val="00D45351"/>
    <w:rsid w:val="00D83890"/>
    <w:rsid w:val="00D95925"/>
    <w:rsid w:val="00DB25C1"/>
    <w:rsid w:val="00DB5077"/>
    <w:rsid w:val="00DD60D3"/>
    <w:rsid w:val="00DE5E66"/>
    <w:rsid w:val="00DE6F49"/>
    <w:rsid w:val="00E022D1"/>
    <w:rsid w:val="00E06F91"/>
    <w:rsid w:val="00E13E4F"/>
    <w:rsid w:val="00E22F50"/>
    <w:rsid w:val="00E355D3"/>
    <w:rsid w:val="00E467AB"/>
    <w:rsid w:val="00E5116E"/>
    <w:rsid w:val="00E728E0"/>
    <w:rsid w:val="00EB38B7"/>
    <w:rsid w:val="00EB5E48"/>
    <w:rsid w:val="00EB6923"/>
    <w:rsid w:val="00EC5DC8"/>
    <w:rsid w:val="00EF1F1C"/>
    <w:rsid w:val="00F01D00"/>
    <w:rsid w:val="00F02F01"/>
    <w:rsid w:val="00F035EE"/>
    <w:rsid w:val="00F167FC"/>
    <w:rsid w:val="00F2084D"/>
    <w:rsid w:val="00F359BD"/>
    <w:rsid w:val="00F4518F"/>
    <w:rsid w:val="00F50865"/>
    <w:rsid w:val="00F62D3E"/>
    <w:rsid w:val="00F65097"/>
    <w:rsid w:val="00F81499"/>
    <w:rsid w:val="00F81FB3"/>
    <w:rsid w:val="00F90D3B"/>
    <w:rsid w:val="00F91E69"/>
    <w:rsid w:val="00F95842"/>
    <w:rsid w:val="00FB320C"/>
    <w:rsid w:val="00FB40D3"/>
    <w:rsid w:val="00FB54AE"/>
    <w:rsid w:val="00FE41E6"/>
    <w:rsid w:val="0A32571F"/>
    <w:rsid w:val="0CC420DD"/>
    <w:rsid w:val="1FC4188E"/>
    <w:rsid w:val="35136ADD"/>
    <w:rsid w:val="3B967EA1"/>
    <w:rsid w:val="4D550AEB"/>
    <w:rsid w:val="509470EC"/>
    <w:rsid w:val="59E74023"/>
    <w:rsid w:val="5A73269D"/>
    <w:rsid w:val="5BFB5547"/>
    <w:rsid w:val="5EBA334B"/>
    <w:rsid w:val="654F116F"/>
    <w:rsid w:val="67344534"/>
    <w:rsid w:val="6B00012E"/>
    <w:rsid w:val="702871A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semiHidden="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61C"/>
    <w:pPr>
      <w:widowControl w:val="0"/>
      <w:snapToGrid w:val="0"/>
      <w:spacing w:afterLines="30"/>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25361C"/>
    <w:pPr>
      <w:tabs>
        <w:tab w:val="center" w:pos="4153"/>
        <w:tab w:val="right" w:pos="8306"/>
      </w:tabs>
    </w:pPr>
    <w:rPr>
      <w:rFonts w:eastAsiaTheme="minorEastAsia"/>
      <w:sz w:val="18"/>
      <w:szCs w:val="18"/>
    </w:rPr>
  </w:style>
  <w:style w:type="paragraph" w:styleId="a4">
    <w:name w:val="header"/>
    <w:basedOn w:val="a"/>
    <w:link w:val="Char0"/>
    <w:uiPriority w:val="99"/>
    <w:unhideWhenUsed/>
    <w:qFormat/>
    <w:rsid w:val="0025361C"/>
    <w:pPr>
      <w:pBdr>
        <w:bottom w:val="single" w:sz="6" w:space="1" w:color="auto"/>
      </w:pBdr>
      <w:tabs>
        <w:tab w:val="center" w:pos="4153"/>
        <w:tab w:val="right" w:pos="8306"/>
      </w:tabs>
      <w:jc w:val="center"/>
    </w:pPr>
    <w:rPr>
      <w:sz w:val="18"/>
      <w:szCs w:val="18"/>
    </w:rPr>
  </w:style>
  <w:style w:type="paragraph" w:styleId="a5">
    <w:name w:val="Normal (Web)"/>
    <w:basedOn w:val="a"/>
    <w:qFormat/>
    <w:rsid w:val="0025361C"/>
    <w:pPr>
      <w:spacing w:before="100" w:beforeAutospacing="1" w:after="100" w:afterAutospacing="1"/>
    </w:pPr>
    <w:rPr>
      <w:rFonts w:ascii="宋体" w:hAnsi="宋体"/>
      <w:kern w:val="0"/>
      <w:sz w:val="24"/>
      <w:szCs w:val="24"/>
    </w:rPr>
  </w:style>
  <w:style w:type="character" w:styleId="a6">
    <w:name w:val="page number"/>
    <w:basedOn w:val="a0"/>
    <w:uiPriority w:val="99"/>
    <w:unhideWhenUsed/>
    <w:qFormat/>
    <w:rsid w:val="0025361C"/>
  </w:style>
  <w:style w:type="character" w:customStyle="1" w:styleId="Char">
    <w:name w:val="页脚 Char"/>
    <w:link w:val="a3"/>
    <w:uiPriority w:val="99"/>
    <w:qFormat/>
    <w:locked/>
    <w:rsid w:val="0025361C"/>
    <w:rPr>
      <w:rFonts w:ascii="Times New Roman" w:hAnsi="Times New Roman" w:cs="Times New Roman"/>
      <w:sz w:val="18"/>
      <w:szCs w:val="18"/>
    </w:rPr>
  </w:style>
  <w:style w:type="character" w:customStyle="1" w:styleId="Char1">
    <w:name w:val="页脚 Char1"/>
    <w:basedOn w:val="a0"/>
    <w:uiPriority w:val="99"/>
    <w:semiHidden/>
    <w:qFormat/>
    <w:rsid w:val="0025361C"/>
    <w:rPr>
      <w:rFonts w:ascii="Times New Roman" w:eastAsia="宋体" w:hAnsi="Times New Roman" w:cs="Times New Roman"/>
      <w:sz w:val="18"/>
      <w:szCs w:val="18"/>
    </w:rPr>
  </w:style>
  <w:style w:type="paragraph" w:customStyle="1" w:styleId="biaogeleft">
    <w:name w:val="biaoge_left"/>
    <w:basedOn w:val="a"/>
    <w:qFormat/>
    <w:rsid w:val="0025361C"/>
    <w:pPr>
      <w:autoSpaceDE w:val="0"/>
      <w:autoSpaceDN w:val="0"/>
      <w:adjustRightInd w:val="0"/>
      <w:spacing w:before="29" w:line="288" w:lineRule="auto"/>
      <w:ind w:left="15"/>
    </w:pPr>
    <w:rPr>
      <w:rFonts w:ascii="宋体" w:hAnsi="宋体" w:cs="宋体"/>
      <w:kern w:val="0"/>
      <w:sz w:val="24"/>
      <w:szCs w:val="24"/>
    </w:rPr>
  </w:style>
  <w:style w:type="paragraph" w:customStyle="1" w:styleId="zhangjiep2">
    <w:name w:val="zhangjie_p2"/>
    <w:basedOn w:val="a"/>
    <w:qFormat/>
    <w:rsid w:val="0025361C"/>
    <w:pPr>
      <w:autoSpaceDE w:val="0"/>
      <w:autoSpaceDN w:val="0"/>
      <w:adjustRightInd w:val="0"/>
      <w:spacing w:before="24" w:line="288" w:lineRule="auto"/>
      <w:ind w:left="15"/>
    </w:pPr>
    <w:rPr>
      <w:rFonts w:ascii="宋体" w:hAnsi="宋体" w:cs="宋体"/>
      <w:kern w:val="0"/>
      <w:sz w:val="24"/>
      <w:szCs w:val="24"/>
    </w:rPr>
  </w:style>
  <w:style w:type="paragraph" w:customStyle="1" w:styleId="biaogecenter">
    <w:name w:val="biaoge_center"/>
    <w:basedOn w:val="a"/>
    <w:qFormat/>
    <w:rsid w:val="0025361C"/>
    <w:pPr>
      <w:autoSpaceDE w:val="0"/>
      <w:autoSpaceDN w:val="0"/>
      <w:adjustRightInd w:val="0"/>
      <w:spacing w:before="29" w:line="288" w:lineRule="auto"/>
      <w:ind w:left="15"/>
      <w:jc w:val="center"/>
    </w:pPr>
    <w:rPr>
      <w:rFonts w:ascii="宋体" w:hAnsi="宋体" w:cs="宋体"/>
      <w:kern w:val="0"/>
      <w:sz w:val="24"/>
      <w:szCs w:val="24"/>
    </w:rPr>
  </w:style>
  <w:style w:type="paragraph" w:customStyle="1" w:styleId="dazhangjie">
    <w:name w:val="dazhangjie"/>
    <w:basedOn w:val="a"/>
    <w:qFormat/>
    <w:rsid w:val="0025361C"/>
    <w:pPr>
      <w:autoSpaceDE w:val="0"/>
      <w:autoSpaceDN w:val="0"/>
      <w:adjustRightInd w:val="0"/>
      <w:spacing w:before="30" w:line="288" w:lineRule="auto"/>
      <w:ind w:left="15"/>
      <w:jc w:val="center"/>
      <w:outlineLvl w:val="0"/>
    </w:pPr>
    <w:rPr>
      <w:rFonts w:ascii="宋体" w:hAnsi="宋体" w:cs="宋体"/>
      <w:kern w:val="0"/>
      <w:sz w:val="24"/>
      <w:szCs w:val="24"/>
    </w:rPr>
  </w:style>
  <w:style w:type="paragraph" w:customStyle="1" w:styleId="1">
    <w:name w:val="正文1"/>
    <w:qFormat/>
    <w:rsid w:val="0025361C"/>
    <w:pPr>
      <w:jc w:val="both"/>
    </w:pPr>
    <w:rPr>
      <w:kern w:val="2"/>
      <w:sz w:val="21"/>
      <w:szCs w:val="21"/>
    </w:rPr>
  </w:style>
  <w:style w:type="paragraph" w:customStyle="1" w:styleId="biaogeright">
    <w:name w:val="biaoge_right"/>
    <w:basedOn w:val="a"/>
    <w:qFormat/>
    <w:rsid w:val="0025361C"/>
    <w:pPr>
      <w:autoSpaceDE w:val="0"/>
      <w:autoSpaceDN w:val="0"/>
      <w:adjustRightInd w:val="0"/>
      <w:spacing w:before="29" w:line="288" w:lineRule="auto"/>
      <w:ind w:left="15"/>
      <w:jc w:val="right"/>
    </w:pPr>
    <w:rPr>
      <w:rFonts w:ascii="宋体" w:hAnsi="宋体" w:cs="宋体"/>
      <w:kern w:val="0"/>
      <w:sz w:val="24"/>
      <w:szCs w:val="24"/>
    </w:rPr>
  </w:style>
  <w:style w:type="paragraph" w:customStyle="1" w:styleId="neirong">
    <w:name w:val="neirong"/>
    <w:basedOn w:val="a"/>
    <w:qFormat/>
    <w:rsid w:val="0025361C"/>
    <w:pPr>
      <w:autoSpaceDE w:val="0"/>
      <w:autoSpaceDN w:val="0"/>
      <w:adjustRightInd w:val="0"/>
      <w:spacing w:before="29" w:line="288" w:lineRule="auto"/>
      <w:ind w:left="15"/>
    </w:pPr>
    <w:rPr>
      <w:rFonts w:ascii="宋体" w:hAnsi="宋体" w:cs="宋体"/>
      <w:kern w:val="0"/>
      <w:sz w:val="24"/>
      <w:szCs w:val="24"/>
    </w:rPr>
  </w:style>
  <w:style w:type="paragraph" w:customStyle="1" w:styleId="zhangjiep">
    <w:name w:val="zhangjie_p"/>
    <w:basedOn w:val="a"/>
    <w:qFormat/>
    <w:rsid w:val="0025361C"/>
    <w:pPr>
      <w:autoSpaceDE w:val="0"/>
      <w:autoSpaceDN w:val="0"/>
      <w:adjustRightInd w:val="0"/>
      <w:spacing w:before="24" w:line="288" w:lineRule="auto"/>
      <w:ind w:left="15"/>
      <w:outlineLvl w:val="1"/>
    </w:pPr>
    <w:rPr>
      <w:rFonts w:ascii="宋体" w:hAnsi="宋体" w:cs="宋体"/>
      <w:kern w:val="0"/>
      <w:sz w:val="24"/>
      <w:szCs w:val="24"/>
    </w:rPr>
  </w:style>
  <w:style w:type="paragraph" w:customStyle="1" w:styleId="Default">
    <w:name w:val="Default"/>
    <w:qFormat/>
    <w:rsid w:val="0025361C"/>
    <w:pPr>
      <w:widowControl w:val="0"/>
      <w:autoSpaceDE w:val="0"/>
      <w:autoSpaceDN w:val="0"/>
      <w:adjustRightInd w:val="0"/>
    </w:pPr>
    <w:rPr>
      <w:rFonts w:ascii="宋体" w:cs="宋体"/>
      <w:color w:val="000000"/>
      <w:sz w:val="24"/>
      <w:szCs w:val="24"/>
    </w:rPr>
  </w:style>
  <w:style w:type="character" w:customStyle="1" w:styleId="Char0">
    <w:name w:val="页眉 Char"/>
    <w:basedOn w:val="a0"/>
    <w:link w:val="a4"/>
    <w:uiPriority w:val="99"/>
    <w:qFormat/>
    <w:rsid w:val="0025361C"/>
    <w:rPr>
      <w:rFonts w:ascii="Times New Roman" w:eastAsia="宋体" w:hAnsi="Times New Roman" w:cs="Times New Roman"/>
      <w:sz w:val="18"/>
      <w:szCs w:val="18"/>
    </w:rPr>
  </w:style>
  <w:style w:type="paragraph" w:customStyle="1" w:styleId="10">
    <w:name w:val="列出段落1"/>
    <w:basedOn w:val="a"/>
    <w:uiPriority w:val="99"/>
    <w:qFormat/>
    <w:rsid w:val="0025361C"/>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420</Words>
  <Characters>2399</Characters>
  <Application>Microsoft Office Word</Application>
  <DocSecurity>0</DocSecurity>
  <Lines>19</Lines>
  <Paragraphs>5</Paragraphs>
  <ScaleCrop>false</ScaleCrop>
  <Company>cc</Company>
  <LinksUpToDate>false</LinksUpToDate>
  <CharactersWithSpaces>2814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2022-07-23T09:20:00Z</dcterms:created>
  <dc:creator>演示人</dc:creator>
  <cp:lastModifiedBy>yytx</cp:lastModifiedBy>
  <dcterms:modified xsi:type="dcterms:W3CDTF">2026-03-27T09:10:00Z</dcterms:modified>
  <cp:revision>127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DA7D07A671F94F61B430BF557E8AE20F</vt:lpwstr>
  </property>
</Properties>
</file>