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南银理财鼎瑞悦稳（最低持有21天）2号公募人民币理财产品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南银理财鼎瑞悦稳（最低持有21天）2号公募人民币理财产品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Z7003224000207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2024年10月16日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2,815,935,689.61</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中粮信托有限责任公司,华泰资产管理有限公司,国投泰康信托有限公司,陆家嘴国际信托有限公司,泰康资产管理有限责任公司,江苏省国际信托有限责任公司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316,322,759.85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1.030551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1.030551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1,983,445,156.89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A32095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595,131,764.55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1.028717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425,316.04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1.027910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1.027910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A32062份额净值为1.030551元，A32063份额净值为1.027660元，A32095份额净值为1.028717元，A32121份额净值为1.027910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83.72%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82.97%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16.28%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17.03%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312510001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25交行TLAC非资本债01A(BC)</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200,881,000.00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252106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23荆发01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180,508,500.00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102382515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23中建六局MTN001(科创票据)</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150,693,000.00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242380030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23湖北银行永续债01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137,327,710.00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251977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23长交债</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120,337,560.00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232380021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23浙商银行二级资本债01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103,492,800.00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102,321,342.68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102481202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24淮安开发MTN007B</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101,048,800.00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032400610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24合川投资PPN001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100,896,400.00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032380997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23嘉秀发展PPN003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100,667,300.00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0101090000001216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南京银行南京分行南银理财鼎瑞悦稳最低持有21天2号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26南京软科MTN001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102681535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50002794.52</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84122324.54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691151.08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69760.99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22125.89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195467.46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