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B75FAA" w:rsidP="00F87FA0">
      <w:pPr>
        <w:spacing w:before="240" w:afterLines="30" w:line="360" w:lineRule="auto"/>
        <w:jc w:val="center"/>
        <w:rPr>
          <w:rFonts w:ascii="方正黑体简体" w:eastAsia="方正黑体简体"/>
          <w:sz w:val="36"/>
        </w:rPr>
      </w:pPr>
      <w:r>
        <w:rPr>
          <w:rFonts w:ascii="方正黑体简体" w:eastAsia="方正黑体简体"/>
          <w:sz w:val="36"/>
        </w:rPr>
        <w:t>南银理财鼎瑞悦稳（最低持有21天）2号公募人民币理财产品</w:t>
      </w:r>
    </w:p>
    <w:p w:rsidR="004D0A40" w:rsidRDefault="00B75FAA" w:rsidP="00F87FA0">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w:t>
      </w:r>
      <w:r>
        <w:rPr>
          <w:rFonts w:ascii="方正黑体简体" w:eastAsia="方正黑体简体" w:hAnsi="黑体"/>
          <w:sz w:val="36"/>
        </w:rPr>
        <w:t>年</w:t>
      </w:r>
      <w:r>
        <w:rPr>
          <w:rFonts w:ascii="方正黑体简体" w:eastAsia="方正黑体简体" w:hAnsi="Calibri" w:hint="eastAsia"/>
          <w:sz w:val="36"/>
        </w:rPr>
        <w:t>年度</w:t>
      </w:r>
      <w:r>
        <w:rPr>
          <w:rFonts w:ascii="方正黑体简体" w:eastAsia="方正黑体简体" w:hAnsi="黑体"/>
          <w:sz w:val="36"/>
        </w:rPr>
        <w:t>报告</w:t>
      </w: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4D0A40" w:rsidRDefault="00B75FAA">
      <w:pPr>
        <w:widowControl/>
        <w:jc w:val="left"/>
        <w:rPr>
          <w:rFonts w:ascii="方正仿宋简体" w:eastAsia="方正仿宋简体"/>
          <w:sz w:val="24"/>
          <w:szCs w:val="24"/>
        </w:rPr>
      </w:pPr>
      <w:r>
        <w:rPr>
          <w:rFonts w:ascii="方正仿宋简体" w:eastAsia="方正仿宋简体"/>
          <w:sz w:val="24"/>
          <w:szCs w:val="24"/>
        </w:rPr>
        <w:br w:type="page"/>
      </w:r>
    </w:p>
    <w:p w:rsidR="004D0A40" w:rsidRDefault="00B75FAA" w:rsidP="00F87FA0">
      <w:pPr>
        <w:spacing w:before="240" w:afterLines="30" w:line="360" w:lineRule="auto"/>
        <w:jc w:val="center"/>
        <w:rPr>
          <w:rFonts w:ascii="方正仿宋简体" w:eastAsia="方正仿宋简体"/>
          <w:sz w:val="24"/>
          <w:szCs w:val="24"/>
        </w:rPr>
      </w:pPr>
      <w:r>
        <w:rPr>
          <w:rFonts w:ascii="方正仿宋简体" w:eastAsia="方正仿宋简体" w:hAnsi="Calibri" w:hint="eastAsia"/>
          <w:b/>
          <w:sz w:val="24"/>
          <w:szCs w:val="24"/>
        </w:rPr>
        <w:lastRenderedPageBreak/>
        <w:t>§</w:t>
      </w:r>
      <w:r>
        <w:rPr>
          <w:rFonts w:ascii="方正仿宋简体" w:eastAsia="方正仿宋简体" w:hAnsi="Calibri" w:hint="eastAsia"/>
          <w:b/>
          <w:sz w:val="24"/>
          <w:szCs w:val="24"/>
        </w:rPr>
        <w:t xml:space="preserve">1 </w:t>
      </w:r>
      <w:r>
        <w:rPr>
          <w:rFonts w:ascii="方正仿宋简体" w:eastAsia="方正仿宋简体" w:hAnsi="Calibri" w:hint="eastAsia"/>
          <w:b/>
          <w:sz w:val="24"/>
          <w:szCs w:val="24"/>
        </w:rPr>
        <w:t>产品概况</w:t>
      </w:r>
    </w:p>
    <w:tbl>
      <w:tblPr>
        <w:tblW w:w="89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24"/>
        <w:gridCol w:w="6178"/>
      </w:tblGrid>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南银理财鼎瑞悦稳（最低持有21天）2号公募人民币理财产品</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Z7003224000207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2024年10月16日</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5,758,974,287.16</w:t>
            </w:r>
            <w:r>
              <w:rPr>
                <w:rFonts w:ascii="方正仿宋简体" w:eastAsia="方正仿宋简体" w:hint="eastAsia"/>
                <w:sz w:val="24"/>
                <w:szCs w:val="24"/>
              </w:rPr>
              <w:t>份</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sz w:val="24"/>
                <w:szCs w:val="24"/>
              </w:rPr>
              <w:t>113.12%</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中粮信托有限责任公司,中诚信托有限责任公司,华泰资产管理有限公司,国投泰康信托有限公司,紫金信托有限责任公司,陆家嘴国际信托有限公司,太平洋资产管理有限责任公司,江苏省国际信托有限责任公司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D0A40" w:rsidRDefault="004D0A40" w:rsidP="00F87FA0">
      <w:pPr>
        <w:spacing w:before="240" w:afterLines="30" w:line="360" w:lineRule="auto"/>
        <w:rPr>
          <w:rFonts w:ascii="方正仿宋简体" w:eastAsia="方正仿宋简体" w:hAnsi="Calibri"/>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2  </w:t>
      </w:r>
      <w:r>
        <w:rPr>
          <w:rFonts w:ascii="方正仿宋简体" w:eastAsia="方正仿宋简体" w:hAnsi="Calibri" w:hint="eastAsia"/>
          <w:b/>
          <w:sz w:val="24"/>
          <w:szCs w:val="24"/>
        </w:rPr>
        <w:t>主要财务指标</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4D0A40" w:rsidRDefault="00B75FAA" w:rsidP="00F87FA0">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413"/>
        <w:gridCol w:w="2268"/>
        <w:gridCol w:w="1701"/>
        <w:gridCol w:w="2126"/>
        <w:gridCol w:w="1394"/>
      </w:tblGrid>
      <w:tr w:rsidR="004D0A40">
        <w:trPr>
          <w:trHeight w:val="755"/>
          <w:jc w:val="center"/>
        </w:trPr>
        <w:tc>
          <w:tcPr>
            <w:tcW w:w="1413" w:type="dxa"/>
            <w:vMerge w:val="restart"/>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489" w:type="dxa"/>
            <w:gridSpan w:val="4"/>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w:t>
            </w:r>
            <w:r>
              <w:rPr>
                <w:rFonts w:ascii="方正仿宋简体" w:eastAsia="方正仿宋简体" w:hint="eastAsia"/>
                <w:sz w:val="24"/>
                <w:szCs w:val="24"/>
                <w:shd w:val="clear" w:color="auto" w:fill="FFFFFF"/>
              </w:rPr>
              <w:t>2025年01月01日 - 2025年12月31日</w:t>
            </w:r>
            <w:r>
              <w:rPr>
                <w:rFonts w:ascii="方正仿宋简体" w:eastAsia="方正仿宋简体" w:hint="eastAsia"/>
                <w:sz w:val="24"/>
                <w:szCs w:val="24"/>
                <w:shd w:val="clear" w:color="auto" w:fill="FFFFFF"/>
              </w:rPr>
              <w:t>）</w:t>
            </w:r>
          </w:p>
        </w:tc>
      </w:tr>
      <w:tr w:rsidR="004D0A40">
        <w:trPr>
          <w:jc w:val="center"/>
        </w:trPr>
        <w:tc>
          <w:tcPr>
            <w:tcW w:w="1413" w:type="dxa"/>
            <w:vMerge/>
            <w:vAlign w:val="center"/>
          </w:tcPr>
          <w:p w:rsidR="004D0A40" w:rsidRDefault="004D0A40" w:rsidP="00F87FA0">
            <w:pPr>
              <w:spacing w:beforeLines="20" w:afterLines="20"/>
              <w:jc w:val="center"/>
              <w:rPr>
                <w:rFonts w:ascii="方正仿宋简体" w:eastAsia="方正仿宋简体"/>
                <w:sz w:val="24"/>
                <w:szCs w:val="24"/>
                <w:shd w:val="clear" w:color="auto" w:fill="FFFFFF"/>
              </w:rPr>
            </w:pPr>
          </w:p>
        </w:tc>
        <w:tc>
          <w:tcPr>
            <w:tcW w:w="2268"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w:t>
            </w:r>
            <w:r>
              <w:rPr>
                <w:rFonts w:ascii="方正仿宋简体" w:eastAsia="方正仿宋简体" w:hint="eastAsia"/>
                <w:sz w:val="24"/>
                <w:szCs w:val="24"/>
                <w:shd w:val="clear" w:color="auto" w:fill="FFFFFF"/>
              </w:rPr>
              <w:t>期末产品最后一个市场交易日资产净值</w:t>
            </w:r>
          </w:p>
        </w:tc>
        <w:tc>
          <w:tcPr>
            <w:tcW w:w="1701"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w:t>
            </w:r>
            <w:r>
              <w:rPr>
                <w:rFonts w:ascii="方正仿宋简体" w:eastAsia="方正仿宋简体" w:hint="eastAsia"/>
                <w:sz w:val="24"/>
                <w:szCs w:val="24"/>
                <w:shd w:val="clear" w:color="auto" w:fill="FFFFFF"/>
              </w:rPr>
              <w:t>期末产品最后一个市场交易日份额净值</w:t>
            </w:r>
          </w:p>
        </w:tc>
        <w:tc>
          <w:tcPr>
            <w:tcW w:w="2126"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w:t>
            </w:r>
            <w:r>
              <w:rPr>
                <w:rFonts w:ascii="方正仿宋简体" w:eastAsia="方正仿宋简体" w:hint="eastAsia"/>
                <w:sz w:val="24"/>
                <w:szCs w:val="24"/>
                <w:shd w:val="clear" w:color="auto" w:fill="FFFFFF"/>
              </w:rPr>
              <w:t>期末产品最后一个市场交易日份额累计净值</w:t>
            </w:r>
          </w:p>
        </w:tc>
        <w:tc>
          <w:tcPr>
            <w:tcW w:w="1394"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w:t>
            </w:r>
            <w:r>
              <w:rPr>
                <w:rFonts w:ascii="方正仿宋简体" w:eastAsia="方正仿宋简体" w:hint="eastAsia"/>
                <w:sz w:val="24"/>
                <w:szCs w:val="24"/>
                <w:shd w:val="clear" w:color="auto" w:fill="FFFFFF"/>
              </w:rPr>
              <w:t>其它费用</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A32062</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630,750,237.28</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1.020555</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1.020555</w:t>
            </w:r>
          </w:p>
        </w:tc>
        <w:tc>
          <w:tcPr>
            <w:tcW w:w="139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20,958.41</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A32063</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3,772,122,521.46</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1.019219</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1.019219</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A32095</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1,460,125,004.68</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1.019757</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1.019757</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A32121</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8,258,705.55</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1.019373</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1.019373</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注：产品净值可能存在未扣除管理人及投资合作机构业绩报酬、赎回费等费用（如有）的情况，实际收益以兑付为准。</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3  </w:t>
      </w:r>
      <w:r>
        <w:rPr>
          <w:rFonts w:ascii="方正仿宋简体" w:eastAsia="方正仿宋简体" w:hAnsi="Calibri" w:hint="eastAsia"/>
          <w:b/>
          <w:sz w:val="24"/>
          <w:szCs w:val="24"/>
        </w:rPr>
        <w:t>管理人报告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债券方面，四季度债券市场围绕基金销售费率新规、央行重启国债买卖，重要会议政策预期展开交易。机构博弈信用债利差压缩，信用债配置情绪整体有所修复，年末万科债券展期，重要会议释放货币宽松信号，央行呵护跨年资金面，但超长债供给时有扰动，利率曲线陡峭化，长端利率波动放大，信用债和同业存单收益率窄幅波动，信用利差主动走阔后维持震荡。30年国债较上季末上行2bp，1年国债下行3bp，利率曲线进一步陡峭化。</w:t>
        <w:br w:type="textWrapping" w:clear="all"/>
      </w:r>
      <w:r>
        <w:rPr>
          <w:rFonts w:ascii="方正仿宋简体" w:eastAsia="方正仿宋简体" w:hint="eastAsia"/>
          <w:sz w:val="24"/>
          <w:szCs w:val="24"/>
        </w:rPr>
        <w:t>  展望一季度，开门红和长债供给压力扰动市场情绪，票息价值逐步提升，配置窗口临近。市场对“春季躁动”行情的预期极其一致。考虑到1月下旬会迎来一波地方债的供给高峰，市场对久期的偏好预计仍维持在较低的水平。判断市场压力的充分释放可能要看到供给冲击交易结束和相关利差的充分走阔。操作上，抓住调整窗口积极进行票息布局，在权益市场波动快速放大后关注长久期品种交易机会，波段交易注重交易纪律，快进快出、及时止盈。信用债投资关注3年以内城投品种的票息价值，在央行适度宽松的货币基调下，中短端确定性更高，调整中逐步加仓，把握票息机会。</w:t>
        <w:br w:type="textWrapping" w:clear="all"/>
      </w:r>
      <w:r>
        <w:rPr>
          <w:rFonts w:ascii="方正仿宋简体" w:eastAsia="方正仿宋简体" w:hint="eastAsia"/>
          <w:sz w:val="24"/>
          <w:szCs w:val="24"/>
        </w:rPr>
        <w:t>  操作方面，本产品为短期产品，坚持稳健配置的管理思路，精选中短久期信用债、银行存款、债券回购为主要配置资产，兼顾收益与流动性。下一阶段，本产品操作上将积极参与存款等估值免疫类资产，提升高流动性资产占比，控制市值仓位和久期，为客户提供稳定的收益回报。</w:t>
      </w:r>
      <w:r>
        <w:rPr>
          <w:rFonts w:ascii="方正仿宋简体" w:eastAsia="方正仿宋简体" w:hint="eastAsia"/>
          <w:sz w:val="24"/>
          <w:szCs w:val="24"/>
        </w:rPr>
        <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  本产品持仓资产以债券为主，在持仓中维持合理比例高流动性资产，产品流动性状况较好。</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4D0A40" w:rsidRDefault="00B75FAA" w:rsidP="00F87FA0">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A32062份额净值为1.020555元，A32063份额净值为1.019219元，A32095份额净值为1.019757元，A32121份额净值为1.019373</w:t>
      </w:r>
      <w:r>
        <w:rPr>
          <w:rFonts w:ascii="方正仿宋简体" w:eastAsia="方正仿宋简体" w:hint="eastAsia"/>
          <w:sz w:val="24"/>
          <w:szCs w:val="24"/>
        </w:rPr>
        <w:t>元。</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4  </w:t>
      </w:r>
      <w:r>
        <w:rPr>
          <w:rFonts w:ascii="方正仿宋简体" w:eastAsia="方正仿宋简体" w:hAnsi="Calibri" w:hint="eastAsia"/>
          <w:b/>
          <w:sz w:val="24"/>
          <w:szCs w:val="24"/>
        </w:rPr>
        <w:t>托管人报告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w:t>
      </w:r>
      <w:r>
        <w:rPr>
          <w:rFonts w:ascii="方正仿宋简体" w:eastAsia="方正仿宋简体" w:hint="eastAsia"/>
          <w:b/>
          <w:sz w:val="24"/>
          <w:szCs w:val="24"/>
        </w:rPr>
        <w:t>报告期内托管人遵规守信情况声明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托管人对报告期内投资运作遵规守信、净值计算、利润分配等情况的说明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4.3 </w:t>
      </w:r>
      <w:r>
        <w:rPr>
          <w:rFonts w:ascii="方正仿宋简体" w:eastAsia="方正仿宋简体" w:hint="eastAsia"/>
          <w:b/>
          <w:sz w:val="24"/>
          <w:szCs w:val="24"/>
        </w:rPr>
        <w:t>托管人对本报告期内报告中财务信息等内容的真实、准确和完整发表意见</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5  </w:t>
      </w:r>
      <w:r>
        <w:rPr>
          <w:rFonts w:ascii="方正仿宋简体" w:eastAsia="方正仿宋简体" w:hAnsi="Calibri" w:hint="eastAsia"/>
          <w:b/>
          <w:sz w:val="24"/>
          <w:szCs w:val="24"/>
        </w:rPr>
        <w:t>投资组合报告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93.22</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91.73</w:t>
            </w:r>
            <w:r>
              <w:rPr>
                <w:rFonts w:ascii="方正仿宋简体" w:eastAsia="方正仿宋简体" w:hAnsiTheme="minorEastAsia"/>
                <w:sz w:val="24"/>
                <w:szCs w:val="24"/>
              </w:rPr>
              <w:t>%</w:t>
            </w:r>
          </w:p>
        </w:tc>
      </w:tr>
      <w:tr w:rsidR="004D0A40">
        <w:trPr>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6.78</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8.27</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4D0A40" w:rsidRDefault="004D0A40" w:rsidP="00F87FA0">
      <w:pPr>
        <w:spacing w:before="240" w:afterLines="30" w:line="360" w:lineRule="auto"/>
        <w:rPr>
          <w:rFonts w:ascii="方正仿宋简体" w:eastAsia="方正仿宋简体" w:cs="宋体"/>
          <w:kern w:val="0"/>
          <w:sz w:val="24"/>
          <w:szCs w:val="24"/>
        </w:rPr>
      </w:pP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9"/>
        <w:gridCol w:w="1748"/>
        <w:gridCol w:w="2721"/>
        <w:gridCol w:w="2059"/>
        <w:gridCol w:w="1785"/>
      </w:tblGrid>
      <w:tr w:rsidR="004D0A40">
        <w:trPr>
          <w:trHeight w:val="870"/>
          <w:jc w:val="center"/>
        </w:trPr>
        <w:tc>
          <w:tcPr>
            <w:tcW w:w="58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4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w:t>
            </w:r>
            <w:r>
              <w:rPr>
                <w:rFonts w:ascii="方正仿宋简体" w:eastAsia="方正仿宋简体" w:hAnsiTheme="minorEastAsia" w:hint="eastAsia"/>
                <w:sz w:val="24"/>
                <w:szCs w:val="24"/>
              </w:rPr>
              <w:t>(</w:t>
            </w:r>
            <w:r>
              <w:rPr>
                <w:rFonts w:ascii="方正仿宋简体" w:eastAsia="方正仿宋简体" w:hAnsiTheme="minorEastAsia" w:hint="eastAsia"/>
                <w:sz w:val="24"/>
                <w:szCs w:val="24"/>
              </w:rPr>
              <w:t>元</w:t>
            </w:r>
            <w:r>
              <w:rPr>
                <w:rFonts w:ascii="方正仿宋简体" w:eastAsia="方正仿宋简体" w:hAnsiTheme="minorEastAsia" w:hint="eastAsia"/>
                <w:sz w:val="24"/>
                <w:szCs w:val="24"/>
              </w:rPr>
              <w:t>)</w:t>
            </w:r>
          </w:p>
        </w:tc>
        <w:tc>
          <w:tcPr>
            <w:tcW w:w="178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ZJQTT202308160001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中粮信托鼎兴4号集合资金信托计划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764,451,981.65</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13.02</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ZJQTT202209050001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江苏信托鑫盈2号集合资金信托计划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733,832,355.50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12.50</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ZJQTT202410090002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陆家嘴信托-陆享19号集合资金信托计划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462,373,592.91</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7.88</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XJCKX202504280001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华夏银行南京分行活期存款</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307,380,983.33</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5.24</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DQCKX202508050021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上海银行定期存款20250805A</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5.11</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DQCKX202508040002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恒丰银行定期存款20250804</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5.11</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ZJQTT202502250024</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紫金信托合盛3号集合资金信托计划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267,025,997.80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4.55</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ZJQTT202508040001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太平洋安盈十五号流动性资产管理产品</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200,856,170.07</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3.42</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DQCKX202508010001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北京银行定期存款20250801</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3.41</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112580485</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25广州银行CD111</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198,394,600.00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3.38</w:t>
            </w:r>
          </w:p>
        </w:tc>
      </w:tr>
    </w:tbl>
    <w:p w:rsidR="004D0A40" w:rsidRDefault="004D0A40" w:rsidP="00F87FA0">
      <w:pPr>
        <w:spacing w:before="240" w:afterLines="30" w:line="360" w:lineRule="auto"/>
        <w:rPr>
          <w:rFonts w:ascii="方正仿宋简体" w:eastAsia="方正仿宋简体" w:hAnsi="宋体" w:cs="宋体"/>
          <w:sz w:val="24"/>
          <w:szCs w:val="24"/>
          <w:shd w:val="clear" w:color="auto" w:fill="FFFFFF"/>
        </w:rPr>
      </w:pPr>
    </w:p>
    <w:p w:rsidR="004D0A40" w:rsidRDefault="00B75FAA" w:rsidP="00F87FA0">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w:t>
      </w:r>
      <w:r>
        <w:rPr>
          <w:rFonts w:ascii="方正仿宋简体" w:eastAsia="方正仿宋简体" w:hAnsi="宋体" w:cs="宋体" w:hint="eastAsia"/>
          <w:b/>
          <w:sz w:val="24"/>
          <w:szCs w:val="24"/>
          <w:shd w:val="clear" w:color="auto" w:fill="FFFFFF"/>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4D0A40">
        <w:trPr>
          <w:jc w:val="center"/>
        </w:trPr>
        <w:tc>
          <w:tcPr>
            <w:tcW w:w="70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剩余融资期限（天</w:t>
            </w:r>
            <w:r>
              <w:rPr>
                <w:rFonts w:ascii="方正仿宋简体" w:eastAsia="方正仿宋简体" w:hAnsiTheme="minorEastAsia"/>
                <w:sz w:val="24"/>
                <w:szCs w:val="24"/>
              </w:rPr>
              <w:t>）</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6</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68"/>
        <w:gridCol w:w="1517"/>
        <w:gridCol w:w="2449"/>
        <w:gridCol w:w="1984"/>
        <w:gridCol w:w="1984"/>
      </w:tblGrid>
      <w:tr w:rsidR="004D0A40">
        <w:trPr>
          <w:trHeight w:val="705"/>
          <w:jc w:val="center"/>
        </w:trPr>
        <w:tc>
          <w:tcPr>
            <w:tcW w:w="96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51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4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jc w:val="center"/>
        </w:trPr>
        <w:tc>
          <w:tcPr>
            <w:tcW w:w="968"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51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4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0101090000001216</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南京银行南京分行南银理财鼎瑞悦稳最低持有21天2号</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7 </w:t>
      </w:r>
      <w:r>
        <w:rPr>
          <w:rFonts w:ascii="方正仿宋简体" w:eastAsia="方正仿宋简体" w:hint="eastAsia"/>
          <w:b/>
          <w:sz w:val="24"/>
          <w:szCs w:val="24"/>
        </w:rPr>
        <w:t>关联交易情况</w:t>
      </w:r>
    </w:p>
    <w:p w:rsidR="004D0A40" w:rsidRDefault="00F87F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7.1</w:t>
      </w:r>
      <w:r w:rsidR="00B75FAA">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D0A40" w:rsidRDefault="002B6236">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7.</w:t>
      </w:r>
      <w:r w:rsidR="00B75FAA">
        <w:rPr>
          <w:rFonts w:ascii="方正仿宋简体" w:eastAsia="方正仿宋简体" w:hint="eastAsia"/>
          <w:b/>
          <w:sz w:val="24"/>
          <w:szCs w:val="24"/>
        </w:rPr>
        <w:t>2</w:t>
      </w:r>
      <w:r w:rsidR="00B75FAA">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23先行控股PPN004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032380926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84240043.84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24淮安文旅PPN002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032480071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82758465.75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25苏广播SCP001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012582741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30001438.36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24山东公用PPN001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032480207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71940400.00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23常高新MTN002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102382680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73581430.14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24泰华信PPN003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032480279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61340843.84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23先行控股PPN004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032380926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84240043.84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23中兴国资PPN002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032380738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106177808.22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24新沂城投PPN001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032480239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61558438.36</w:t>
            </w:r>
          </w:p>
        </w:tc>
      </w:tr>
    </w:tbl>
    <w:p w:rsidR="004D0A40" w:rsidRDefault="002809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3</w:t>
      </w:r>
      <w:r w:rsidR="00B75FAA">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8075558543.99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8164000000.00</w:t>
            </w:r>
          </w:p>
        </w:tc>
      </w:tr>
    </w:tbl>
    <w:p w:rsidR="004D0A40" w:rsidRDefault="005C60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4</w:t>
      </w:r>
      <w:r w:rsidR="00B75FAA">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4D0A40">
        <w:trPr>
          <w:trHeight w:val="1048"/>
          <w:jc w:val="center"/>
        </w:trPr>
        <w:tc>
          <w:tcPr>
            <w:tcW w:w="87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日照银行股份有限公司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179615.49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1292750.00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8651.98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991543.17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4D0A40" w:rsidRDefault="004D0A40">
      <w:pPr>
        <w:spacing w:before="240" w:after="72" w:line="360" w:lineRule="auto"/>
        <w:rPr>
          <w:rFonts w:ascii="方正仿宋_GBK" w:eastAsia="方正仿宋_GBK"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4D0A40" w:rsidRDefault="00B75FAA" w:rsidP="004D0A40">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2025年12月31日</w:t>
      </w:r>
    </w:p>
    <w:sectPr w:rsidR="004D0A40" w:rsidSect="004D0A40">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FAA" w:rsidRDefault="00B75FAA" w:rsidP="004D0A40">
      <w:r>
        <w:separator/>
      </w:r>
    </w:p>
  </w:endnote>
  <w:endnote w:type="continuationSeparator" w:id="1">
    <w:p w:rsidR="00B75FAA" w:rsidRDefault="00B75FAA" w:rsidP="004D0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framePr w:wrap="around" w:vAnchor="text" w:hAnchor="margin" w:xAlign="center" w:y="1"/>
      <w:rPr>
        <w:rStyle w:val="aa"/>
      </w:rPr>
    </w:pPr>
    <w:r>
      <w:fldChar w:fldCharType="begin"/>
    </w:r>
    <w:r w:rsidR="00B75FAA">
      <w:rPr>
        <w:rStyle w:val="aa"/>
      </w:rPr>
      <w:instrText xml:space="preserve">PAGE  </w:instrText>
    </w:r>
    <w:r>
      <w:fldChar w:fldCharType="end"/>
    </w:r>
  </w:p>
  <w:p w:rsidR="004D0A40" w:rsidRDefault="004D0A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FAA" w:rsidRDefault="00B75FAA" w:rsidP="004D0A40">
      <w:r>
        <w:separator/>
      </w:r>
    </w:p>
  </w:footnote>
  <w:footnote w:type="continuationSeparator" w:id="1">
    <w:p w:rsidR="00B75FAA" w:rsidRDefault="00B75FAA" w:rsidP="004D0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3074"/>
  </w:hdrShapeDefaults>
  <w:footnotePr>
    <w:footnote w:id="0"/>
    <w:footnote w:id="1"/>
  </w:footnotePr>
  <w:endnotePr>
    <w:endnote w:id="0"/>
    <w:endnote w:id="1"/>
  </w:endnotePr>
  <w:compat>
    <w:doNotExpandShiftReturn/>
    <w:useFELayout/>
  </w:compat>
  <w:rsids>
    <w:rsidRoot w:val="00172A27"/>
    <w:rsid w:val="000060E5"/>
    <w:rsid w:val="000234FF"/>
    <w:rsid w:val="00026D52"/>
    <w:rsid w:val="000318AA"/>
    <w:rsid w:val="000331A3"/>
    <w:rsid w:val="00034FF6"/>
    <w:rsid w:val="000379EA"/>
    <w:rsid w:val="00044BFF"/>
    <w:rsid w:val="000470C2"/>
    <w:rsid w:val="0005474A"/>
    <w:rsid w:val="0005609C"/>
    <w:rsid w:val="00061725"/>
    <w:rsid w:val="000857E6"/>
    <w:rsid w:val="0009184B"/>
    <w:rsid w:val="00095B95"/>
    <w:rsid w:val="000A3711"/>
    <w:rsid w:val="000D5066"/>
    <w:rsid w:val="000E3F60"/>
    <w:rsid w:val="000E6ACE"/>
    <w:rsid w:val="000F6191"/>
    <w:rsid w:val="00103D08"/>
    <w:rsid w:val="001131F8"/>
    <w:rsid w:val="001159BA"/>
    <w:rsid w:val="001279EA"/>
    <w:rsid w:val="00130CE8"/>
    <w:rsid w:val="0014449D"/>
    <w:rsid w:val="00152201"/>
    <w:rsid w:val="001538A9"/>
    <w:rsid w:val="00167653"/>
    <w:rsid w:val="00172A27"/>
    <w:rsid w:val="001735BA"/>
    <w:rsid w:val="00176636"/>
    <w:rsid w:val="00183C84"/>
    <w:rsid w:val="001B497D"/>
    <w:rsid w:val="001C05F9"/>
    <w:rsid w:val="001C4DF0"/>
    <w:rsid w:val="001C5395"/>
    <w:rsid w:val="001D484E"/>
    <w:rsid w:val="001E2EEA"/>
    <w:rsid w:val="001E5905"/>
    <w:rsid w:val="001E7120"/>
    <w:rsid w:val="00211F26"/>
    <w:rsid w:val="00224D9D"/>
    <w:rsid w:val="002263FC"/>
    <w:rsid w:val="002448E3"/>
    <w:rsid w:val="00247A0A"/>
    <w:rsid w:val="00266D7F"/>
    <w:rsid w:val="002678D9"/>
    <w:rsid w:val="002765C9"/>
    <w:rsid w:val="002809F4"/>
    <w:rsid w:val="00295E85"/>
    <w:rsid w:val="002A3AE9"/>
    <w:rsid w:val="002B100D"/>
    <w:rsid w:val="002B6236"/>
    <w:rsid w:val="002C196E"/>
    <w:rsid w:val="002D2787"/>
    <w:rsid w:val="002D2DB0"/>
    <w:rsid w:val="002D75D0"/>
    <w:rsid w:val="002E7131"/>
    <w:rsid w:val="002E795C"/>
    <w:rsid w:val="00305714"/>
    <w:rsid w:val="00313E71"/>
    <w:rsid w:val="00317582"/>
    <w:rsid w:val="00321CB7"/>
    <w:rsid w:val="003379A9"/>
    <w:rsid w:val="0035030B"/>
    <w:rsid w:val="00350ADF"/>
    <w:rsid w:val="00355623"/>
    <w:rsid w:val="0036355A"/>
    <w:rsid w:val="003658B9"/>
    <w:rsid w:val="00387F9B"/>
    <w:rsid w:val="003A0419"/>
    <w:rsid w:val="003B7361"/>
    <w:rsid w:val="003C4D3B"/>
    <w:rsid w:val="003D4B6E"/>
    <w:rsid w:val="003E09EA"/>
    <w:rsid w:val="003E412C"/>
    <w:rsid w:val="003F0AC3"/>
    <w:rsid w:val="00456251"/>
    <w:rsid w:val="004568D2"/>
    <w:rsid w:val="0046794D"/>
    <w:rsid w:val="00473E35"/>
    <w:rsid w:val="00497721"/>
    <w:rsid w:val="004A2DC3"/>
    <w:rsid w:val="004A557F"/>
    <w:rsid w:val="004B249A"/>
    <w:rsid w:val="004B5DED"/>
    <w:rsid w:val="004C1607"/>
    <w:rsid w:val="004C42AC"/>
    <w:rsid w:val="004D0A40"/>
    <w:rsid w:val="004E621E"/>
    <w:rsid w:val="004F2359"/>
    <w:rsid w:val="004F313C"/>
    <w:rsid w:val="005060AD"/>
    <w:rsid w:val="005069D8"/>
    <w:rsid w:val="0051077F"/>
    <w:rsid w:val="00522858"/>
    <w:rsid w:val="0056162E"/>
    <w:rsid w:val="00563B93"/>
    <w:rsid w:val="00567DB3"/>
    <w:rsid w:val="00567EEC"/>
    <w:rsid w:val="00594CF2"/>
    <w:rsid w:val="005B3434"/>
    <w:rsid w:val="005B3C9E"/>
    <w:rsid w:val="005B7384"/>
    <w:rsid w:val="005C60F4"/>
    <w:rsid w:val="005D5ED6"/>
    <w:rsid w:val="005E0686"/>
    <w:rsid w:val="005E2884"/>
    <w:rsid w:val="005E40C5"/>
    <w:rsid w:val="005E5050"/>
    <w:rsid w:val="005F2C7B"/>
    <w:rsid w:val="005F4D04"/>
    <w:rsid w:val="005F7DA9"/>
    <w:rsid w:val="006054F8"/>
    <w:rsid w:val="00642A8D"/>
    <w:rsid w:val="0065419A"/>
    <w:rsid w:val="00654220"/>
    <w:rsid w:val="00663B94"/>
    <w:rsid w:val="006761FB"/>
    <w:rsid w:val="00677F66"/>
    <w:rsid w:val="006A77A0"/>
    <w:rsid w:val="006B0D3E"/>
    <w:rsid w:val="006B6B67"/>
    <w:rsid w:val="006C1014"/>
    <w:rsid w:val="006D1F54"/>
    <w:rsid w:val="006E4E94"/>
    <w:rsid w:val="006F69B2"/>
    <w:rsid w:val="007016D5"/>
    <w:rsid w:val="007017D8"/>
    <w:rsid w:val="00730BEE"/>
    <w:rsid w:val="0073101E"/>
    <w:rsid w:val="00735153"/>
    <w:rsid w:val="00745421"/>
    <w:rsid w:val="00745F96"/>
    <w:rsid w:val="00774E0A"/>
    <w:rsid w:val="00782F29"/>
    <w:rsid w:val="007A4219"/>
    <w:rsid w:val="007B08DF"/>
    <w:rsid w:val="007E0B6E"/>
    <w:rsid w:val="007E4637"/>
    <w:rsid w:val="007E68A3"/>
    <w:rsid w:val="00800690"/>
    <w:rsid w:val="0080200C"/>
    <w:rsid w:val="00805821"/>
    <w:rsid w:val="00814110"/>
    <w:rsid w:val="00820D16"/>
    <w:rsid w:val="0082561A"/>
    <w:rsid w:val="008273FB"/>
    <w:rsid w:val="00846B2E"/>
    <w:rsid w:val="0085663C"/>
    <w:rsid w:val="00870717"/>
    <w:rsid w:val="008768AB"/>
    <w:rsid w:val="008870FD"/>
    <w:rsid w:val="008904CC"/>
    <w:rsid w:val="008926F7"/>
    <w:rsid w:val="008A7510"/>
    <w:rsid w:val="008C78BD"/>
    <w:rsid w:val="008D1B73"/>
    <w:rsid w:val="008F099C"/>
    <w:rsid w:val="008F0FA3"/>
    <w:rsid w:val="008F169F"/>
    <w:rsid w:val="008F1AB3"/>
    <w:rsid w:val="00900D90"/>
    <w:rsid w:val="0092772F"/>
    <w:rsid w:val="009354D6"/>
    <w:rsid w:val="00950650"/>
    <w:rsid w:val="009566E6"/>
    <w:rsid w:val="00956754"/>
    <w:rsid w:val="009679B0"/>
    <w:rsid w:val="00970A98"/>
    <w:rsid w:val="009726DC"/>
    <w:rsid w:val="00977E89"/>
    <w:rsid w:val="00982592"/>
    <w:rsid w:val="009A4E58"/>
    <w:rsid w:val="009A4E79"/>
    <w:rsid w:val="009B1695"/>
    <w:rsid w:val="009B2EEF"/>
    <w:rsid w:val="009C6A99"/>
    <w:rsid w:val="009C781F"/>
    <w:rsid w:val="009D5296"/>
    <w:rsid w:val="009E5F4C"/>
    <w:rsid w:val="009E6170"/>
    <w:rsid w:val="009F1FD4"/>
    <w:rsid w:val="009F4338"/>
    <w:rsid w:val="00A204A0"/>
    <w:rsid w:val="00A24362"/>
    <w:rsid w:val="00A4484F"/>
    <w:rsid w:val="00A66D8E"/>
    <w:rsid w:val="00A748DB"/>
    <w:rsid w:val="00A76D4B"/>
    <w:rsid w:val="00A77C47"/>
    <w:rsid w:val="00A9119C"/>
    <w:rsid w:val="00A93E3C"/>
    <w:rsid w:val="00A94A56"/>
    <w:rsid w:val="00AA4549"/>
    <w:rsid w:val="00AA5B04"/>
    <w:rsid w:val="00AC5144"/>
    <w:rsid w:val="00AD5F53"/>
    <w:rsid w:val="00B030BC"/>
    <w:rsid w:val="00B13014"/>
    <w:rsid w:val="00B17559"/>
    <w:rsid w:val="00B23430"/>
    <w:rsid w:val="00B23E1D"/>
    <w:rsid w:val="00B33978"/>
    <w:rsid w:val="00B33B19"/>
    <w:rsid w:val="00B404E6"/>
    <w:rsid w:val="00B4360D"/>
    <w:rsid w:val="00B43E89"/>
    <w:rsid w:val="00B61EA9"/>
    <w:rsid w:val="00B670D1"/>
    <w:rsid w:val="00B74DCA"/>
    <w:rsid w:val="00B75FAA"/>
    <w:rsid w:val="00BC0E14"/>
    <w:rsid w:val="00BC3903"/>
    <w:rsid w:val="00BD66CD"/>
    <w:rsid w:val="00BE47E0"/>
    <w:rsid w:val="00BF3D9D"/>
    <w:rsid w:val="00BF75C8"/>
    <w:rsid w:val="00C04B3A"/>
    <w:rsid w:val="00C05F9C"/>
    <w:rsid w:val="00C1762E"/>
    <w:rsid w:val="00C20F36"/>
    <w:rsid w:val="00C25123"/>
    <w:rsid w:val="00C2582A"/>
    <w:rsid w:val="00C30A48"/>
    <w:rsid w:val="00C375A7"/>
    <w:rsid w:val="00C44DFE"/>
    <w:rsid w:val="00C62DF8"/>
    <w:rsid w:val="00C640FB"/>
    <w:rsid w:val="00C86023"/>
    <w:rsid w:val="00C94EBA"/>
    <w:rsid w:val="00CA6258"/>
    <w:rsid w:val="00CB054E"/>
    <w:rsid w:val="00CC52D7"/>
    <w:rsid w:val="00CC5E0C"/>
    <w:rsid w:val="00CD79D3"/>
    <w:rsid w:val="00CE4DED"/>
    <w:rsid w:val="00CF7900"/>
    <w:rsid w:val="00D17916"/>
    <w:rsid w:val="00D23AB6"/>
    <w:rsid w:val="00D50309"/>
    <w:rsid w:val="00D51AA9"/>
    <w:rsid w:val="00D55A00"/>
    <w:rsid w:val="00D56204"/>
    <w:rsid w:val="00D56691"/>
    <w:rsid w:val="00D7264A"/>
    <w:rsid w:val="00D7267C"/>
    <w:rsid w:val="00D84E43"/>
    <w:rsid w:val="00D870DF"/>
    <w:rsid w:val="00DA30A0"/>
    <w:rsid w:val="00DB0C2F"/>
    <w:rsid w:val="00DB3BF6"/>
    <w:rsid w:val="00DB56A2"/>
    <w:rsid w:val="00DC31CC"/>
    <w:rsid w:val="00DC728A"/>
    <w:rsid w:val="00DD2F3C"/>
    <w:rsid w:val="00DD65B5"/>
    <w:rsid w:val="00DF5BDF"/>
    <w:rsid w:val="00DF6907"/>
    <w:rsid w:val="00E1059D"/>
    <w:rsid w:val="00E11B2F"/>
    <w:rsid w:val="00E155DF"/>
    <w:rsid w:val="00E246E1"/>
    <w:rsid w:val="00E314CE"/>
    <w:rsid w:val="00E514EB"/>
    <w:rsid w:val="00E52823"/>
    <w:rsid w:val="00E52B10"/>
    <w:rsid w:val="00E600D0"/>
    <w:rsid w:val="00E7192D"/>
    <w:rsid w:val="00E75226"/>
    <w:rsid w:val="00E944FA"/>
    <w:rsid w:val="00E960DD"/>
    <w:rsid w:val="00E9797A"/>
    <w:rsid w:val="00EB0DB4"/>
    <w:rsid w:val="00EE0436"/>
    <w:rsid w:val="00EE5457"/>
    <w:rsid w:val="00F41324"/>
    <w:rsid w:val="00F57C12"/>
    <w:rsid w:val="00F609FD"/>
    <w:rsid w:val="00F64BD9"/>
    <w:rsid w:val="00F7052D"/>
    <w:rsid w:val="00F771E3"/>
    <w:rsid w:val="00F8162C"/>
    <w:rsid w:val="00F859AB"/>
    <w:rsid w:val="00F87FA0"/>
    <w:rsid w:val="00F950D0"/>
    <w:rsid w:val="00FA0110"/>
    <w:rsid w:val="00FA2C26"/>
    <w:rsid w:val="00FC3509"/>
    <w:rsid w:val="00FD1F12"/>
    <w:rsid w:val="00FD412B"/>
    <w:rsid w:val="00FF26C8"/>
    <w:rsid w:val="016D581F"/>
    <w:rsid w:val="017217ED"/>
    <w:rsid w:val="030F2BA7"/>
    <w:rsid w:val="03785193"/>
    <w:rsid w:val="04240CEE"/>
    <w:rsid w:val="065551D3"/>
    <w:rsid w:val="06C37561"/>
    <w:rsid w:val="0A236A5A"/>
    <w:rsid w:val="10992483"/>
    <w:rsid w:val="111D4539"/>
    <w:rsid w:val="13297F9C"/>
    <w:rsid w:val="134727C6"/>
    <w:rsid w:val="141A5102"/>
    <w:rsid w:val="15FE575C"/>
    <w:rsid w:val="17E463CF"/>
    <w:rsid w:val="19225CD9"/>
    <w:rsid w:val="1ADC05C7"/>
    <w:rsid w:val="1C4F5F81"/>
    <w:rsid w:val="1E911FB2"/>
    <w:rsid w:val="20F325AF"/>
    <w:rsid w:val="216F6F5C"/>
    <w:rsid w:val="22D04645"/>
    <w:rsid w:val="22E23E75"/>
    <w:rsid w:val="23695E2F"/>
    <w:rsid w:val="2555668E"/>
    <w:rsid w:val="25AF3A81"/>
    <w:rsid w:val="26FD4196"/>
    <w:rsid w:val="28753E78"/>
    <w:rsid w:val="28CD1EA7"/>
    <w:rsid w:val="29F7636C"/>
    <w:rsid w:val="2A2232BA"/>
    <w:rsid w:val="2C4F4CF2"/>
    <w:rsid w:val="32955A2A"/>
    <w:rsid w:val="32AE1BB2"/>
    <w:rsid w:val="36341C31"/>
    <w:rsid w:val="368076E6"/>
    <w:rsid w:val="378F5AE0"/>
    <w:rsid w:val="37F709A6"/>
    <w:rsid w:val="39E872E9"/>
    <w:rsid w:val="3ABE1FB8"/>
    <w:rsid w:val="3C753CC7"/>
    <w:rsid w:val="3F2C3B54"/>
    <w:rsid w:val="40990310"/>
    <w:rsid w:val="459870AF"/>
    <w:rsid w:val="45ED49CE"/>
    <w:rsid w:val="465B4CB0"/>
    <w:rsid w:val="46F0109E"/>
    <w:rsid w:val="47475A63"/>
    <w:rsid w:val="4E276A76"/>
    <w:rsid w:val="509017BA"/>
    <w:rsid w:val="50C71C9D"/>
    <w:rsid w:val="51482FC3"/>
    <w:rsid w:val="52830253"/>
    <w:rsid w:val="541C469D"/>
    <w:rsid w:val="5BE61B5E"/>
    <w:rsid w:val="5EB6743D"/>
    <w:rsid w:val="602D020F"/>
    <w:rsid w:val="64C67B5C"/>
    <w:rsid w:val="66F47EBC"/>
    <w:rsid w:val="67A06E73"/>
    <w:rsid w:val="681903E9"/>
    <w:rsid w:val="68823415"/>
    <w:rsid w:val="6898111C"/>
    <w:rsid w:val="6A485270"/>
    <w:rsid w:val="6D05415D"/>
    <w:rsid w:val="6DB5108E"/>
    <w:rsid w:val="6EB04486"/>
    <w:rsid w:val="6F66394D"/>
    <w:rsid w:val="73193673"/>
    <w:rsid w:val="74543F24"/>
    <w:rsid w:val="74BE328D"/>
    <w:rsid w:val="76EB68DB"/>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D0A40"/>
    <w:pPr>
      <w:jc w:val="left"/>
    </w:pPr>
  </w:style>
  <w:style w:type="paragraph" w:styleId="a4">
    <w:name w:val="Balloon Text"/>
    <w:basedOn w:val="a"/>
    <w:link w:val="Char0"/>
    <w:uiPriority w:val="99"/>
    <w:unhideWhenUsed/>
    <w:qFormat/>
    <w:rsid w:val="004D0A40"/>
    <w:rPr>
      <w:sz w:val="18"/>
      <w:szCs w:val="18"/>
    </w:rPr>
  </w:style>
  <w:style w:type="paragraph" w:styleId="a5">
    <w:name w:val="footer"/>
    <w:basedOn w:val="a"/>
    <w:link w:val="Char1"/>
    <w:uiPriority w:val="99"/>
    <w:unhideWhenUsed/>
    <w:qFormat/>
    <w:rsid w:val="004D0A4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D0A40"/>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4D0A40"/>
    <w:pPr>
      <w:snapToGrid w:val="0"/>
      <w:jc w:val="left"/>
    </w:pPr>
    <w:rPr>
      <w:sz w:val="18"/>
    </w:rPr>
  </w:style>
  <w:style w:type="paragraph" w:styleId="a8">
    <w:name w:val="Normal (Web)"/>
    <w:basedOn w:val="a"/>
    <w:qFormat/>
    <w:rsid w:val="004D0A40"/>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4D0A40"/>
    <w:rPr>
      <w:b/>
      <w:bCs/>
    </w:rPr>
  </w:style>
  <w:style w:type="character" w:styleId="aa">
    <w:name w:val="page number"/>
    <w:basedOn w:val="a0"/>
    <w:uiPriority w:val="99"/>
    <w:unhideWhenUsed/>
    <w:qFormat/>
    <w:rsid w:val="004D0A40"/>
  </w:style>
  <w:style w:type="character" w:styleId="ab">
    <w:name w:val="annotation reference"/>
    <w:uiPriority w:val="99"/>
    <w:unhideWhenUsed/>
    <w:qFormat/>
    <w:rsid w:val="004D0A40"/>
    <w:rPr>
      <w:sz w:val="21"/>
      <w:szCs w:val="21"/>
    </w:rPr>
  </w:style>
  <w:style w:type="character" w:styleId="ac">
    <w:name w:val="footnote reference"/>
    <w:uiPriority w:val="99"/>
    <w:unhideWhenUsed/>
    <w:qFormat/>
    <w:rsid w:val="004D0A40"/>
    <w:rPr>
      <w:vertAlign w:val="superscript"/>
    </w:rPr>
  </w:style>
  <w:style w:type="character" w:customStyle="1" w:styleId="Char0">
    <w:name w:val="批注框文本 Char"/>
    <w:link w:val="a4"/>
    <w:uiPriority w:val="99"/>
    <w:semiHidden/>
    <w:qFormat/>
    <w:rsid w:val="004D0A40"/>
    <w:rPr>
      <w:kern w:val="2"/>
      <w:sz w:val="18"/>
      <w:szCs w:val="18"/>
    </w:rPr>
  </w:style>
  <w:style w:type="character" w:customStyle="1" w:styleId="Char2">
    <w:name w:val="页眉 Char"/>
    <w:link w:val="a6"/>
    <w:uiPriority w:val="99"/>
    <w:semiHidden/>
    <w:qFormat/>
    <w:locked/>
    <w:rsid w:val="004D0A40"/>
    <w:rPr>
      <w:rFonts w:ascii="Times New Roman" w:hAnsi="Times New Roman" w:cs="Times New Roman" w:hint="default"/>
      <w:sz w:val="18"/>
      <w:szCs w:val="18"/>
    </w:rPr>
  </w:style>
  <w:style w:type="character" w:customStyle="1" w:styleId="Char3">
    <w:name w:val="批注主题 Char"/>
    <w:link w:val="a9"/>
    <w:uiPriority w:val="99"/>
    <w:semiHidden/>
    <w:qFormat/>
    <w:rsid w:val="004D0A40"/>
    <w:rPr>
      <w:b/>
      <w:bCs/>
      <w:kern w:val="2"/>
      <w:sz w:val="21"/>
      <w:szCs w:val="22"/>
    </w:rPr>
  </w:style>
  <w:style w:type="character" w:customStyle="1" w:styleId="Char1">
    <w:name w:val="页脚 Char"/>
    <w:link w:val="a5"/>
    <w:uiPriority w:val="99"/>
    <w:semiHidden/>
    <w:qFormat/>
    <w:locked/>
    <w:rsid w:val="004D0A40"/>
    <w:rPr>
      <w:rFonts w:ascii="Times New Roman" w:hAnsi="Times New Roman" w:cs="Times New Roman" w:hint="default"/>
      <w:sz w:val="18"/>
      <w:szCs w:val="18"/>
    </w:rPr>
  </w:style>
  <w:style w:type="character" w:customStyle="1" w:styleId="Char">
    <w:name w:val="批注文字 Char"/>
    <w:link w:val="a3"/>
    <w:uiPriority w:val="99"/>
    <w:qFormat/>
    <w:rsid w:val="004D0A40"/>
    <w:rPr>
      <w:kern w:val="2"/>
      <w:sz w:val="21"/>
      <w:szCs w:val="22"/>
    </w:rPr>
  </w:style>
  <w:style w:type="paragraph" w:customStyle="1" w:styleId="zhongyaotishi">
    <w:name w:val="zhongyaotishi"/>
    <w:basedOn w:val="a"/>
    <w:qFormat/>
    <w:rsid w:val="004D0A40"/>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4D0A4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4D0A4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4D0A40"/>
    <w:pPr>
      <w:widowControl w:val="0"/>
      <w:jc w:val="center"/>
    </w:pPr>
    <w:rPr>
      <w:kern w:val="2"/>
      <w:sz w:val="33"/>
      <w:szCs w:val="22"/>
    </w:rPr>
  </w:style>
  <w:style w:type="paragraph" w:customStyle="1" w:styleId="biaogeleft">
    <w:name w:val="biaoge_left"/>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4D0A4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4D0A4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4D0A40"/>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4D0A40"/>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4D0A40"/>
    <w:pPr>
      <w:widowControl w:val="0"/>
    </w:pPr>
    <w:rPr>
      <w:kern w:val="2"/>
      <w:sz w:val="21"/>
      <w:szCs w:val="22"/>
    </w:rPr>
  </w:style>
  <w:style w:type="paragraph" w:customStyle="1" w:styleId="neirong">
    <w:name w:val="neirong"/>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4D0A40"/>
    <w:pPr>
      <w:jc w:val="both"/>
    </w:pPr>
    <w:rPr>
      <w:kern w:val="2"/>
      <w:sz w:val="21"/>
      <w:szCs w:val="21"/>
    </w:rPr>
  </w:style>
  <w:style w:type="paragraph" w:customStyle="1" w:styleId="Default">
    <w:name w:val="Default"/>
    <w:qFormat/>
    <w:rsid w:val="004D0A4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2406</Characters>
  <Application>Microsoft Office Word</Application>
  <DocSecurity>0</DocSecurity>
  <Lines>20</Lines>
  <Paragraphs>5</Paragraphs>
  <ScaleCrop>false</ScaleCrop>
  <Company>微软中国</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2022-08-03T07:54:00Z</dcterms:created>
  <dc:creator>总行金融市场部本币投资交易部梅浩超</dc:creator>
  <cp:lastModifiedBy>yytx</cp:lastModifiedBy>
  <cp:lastPrinted>2019-09-11T00:56:00Z</cp:lastPrinted>
  <dcterms:modified xsi:type="dcterms:W3CDTF">2026-03-27T09:10:00Z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70A85B21218E4D28BF21800BB7D18235</vt:lpwstr>
  </property>
</Properties>
</file>