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xsi="http://www.w3.org/2001/XMLSchema-instance">
  <w:body>
    <w:p w:rsidR="007E163C" w:rsidRDefault="007E163C">
      <w:pPr>
        <w:spacing w:before="240"/>
        <w:jc w:val="center"/>
      </w:pPr>
    </w:p>
    <w:p w:rsidR="007E163C" w:rsidRDefault="007E163C">
      <w:pPr>
        <w:spacing w:before="240"/>
        <w:jc w:val="center"/>
      </w:pPr>
    </w:p>
    <w:p w:rsidR="007E163C" w:rsidRDefault="007E163C">
      <w:pPr>
        <w:spacing w:before="240"/>
        <w:jc w:val="center"/>
      </w:pPr>
    </w:p>
    <w:p w:rsidR="007E163C" w:rsidRDefault="008D3CD9">
      <w:pPr>
        <w:spacing w:before="240"/>
        <w:jc w:val="center"/>
        <w:rPr>
          <w:rFonts w:ascii="方正黑体简体" w:eastAsia="方正黑体简体"/>
          <w:sz w:val="36"/>
        </w:rPr>
      </w:pPr>
      <w:r>
        <w:rPr>
          <w:rFonts w:ascii="方正黑体简体" w:eastAsia="方正黑体简体"/>
          <w:sz w:val="36"/>
        </w:rPr>
        <w:t>南银理财珠联璧合悦稳（最低持有280天）公募人民币理财产品</w:t>
      </w:r>
    </w:p>
    <w:p w:rsidR="007E163C" w:rsidRDefault="008D3CD9">
      <w:pPr>
        <w:spacing w:before="240"/>
        <w:jc w:val="center"/>
        <w:rPr>
          <w:rFonts w:ascii="方正黑体简体" w:eastAsia="方正黑体简体" w:hAnsi="黑体"/>
          <w:sz w:val="36"/>
        </w:rPr>
      </w:pPr>
      <w:r>
        <w:rPr>
          <w:rFonts w:ascii="方正黑体简体" w:eastAsia="方正黑体简体" w:hAnsi="黑体"/>
          <w:sz w:val="36"/>
        </w:rPr>
        <w:t>2025年</w:t>
      </w:r>
      <w:r>
        <w:rPr>
          <w:rFonts w:ascii="方正黑体简体" w:eastAsia="方正黑体简体" w:hAnsi="Calibri" w:hint="eastAsia"/>
          <w:sz w:val="36"/>
        </w:rPr>
        <w:t>年度</w:t>
      </w:r>
      <w:r>
        <w:rPr>
          <w:rFonts w:ascii="方正黑体简体" w:eastAsia="方正黑体简体" w:hAnsi="黑体"/>
          <w:sz w:val="36"/>
        </w:rPr>
        <w:t>报告</w:t>
      </w: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产品管理人:南银理财有限责任公司</w:t>
      </w: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产品托管人:南京银行股份有限公司</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br w:type="page"/>
      </w: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lastRenderedPageBreak/>
        <w:t>§1 产品概况</w:t>
      </w:r>
    </w:p>
    <w:p w:rsidR="007E163C" w:rsidRDefault="007E163C">
      <w:pPr>
        <w:spacing w:before="240"/>
        <w:rPr>
          <w:rFonts w:ascii="方正仿宋简体" w:eastAsia="方正仿宋简体" w:hAnsi="宋体" w:cs="宋体"/>
          <w:kern w:val="0"/>
          <w:sz w:val="24"/>
          <w:szCs w:val="24"/>
        </w:rPr>
      </w:pPr>
    </w:p>
    <w:tbl>
      <w:tblPr>
        <w:tblW w:w="91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11"/>
        <w:gridCol w:w="6387"/>
      </w:tblGrid>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产品全称</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南银理财珠联璧合悦稳（最低持有280天）公募人民币理财产品</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产品登记编码</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Z7003222000028（投资者可依据该编码在中国理财网www.chinawealth.com.cn查询理财产品相关信息）</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产品运作方式</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开放式净值型</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产品成立日</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2022年04月27日</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报告期末产品份额总额</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4,000,500,154.12份</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报告期末产品杠杆水平</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sz w:val="24"/>
                <w:szCs w:val="24"/>
              </w:rPr>
              <w:t>100.21%</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合作机构</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中粮信托有限责任公司,华鑫证券有限责任公司,广发基金管理有限公司,鑫元基金管理有限公司,易方达基金管理有限公司,陆家嘴国际信托有限公司,江苏省国际信托有限责任公司</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产品管理人</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南银理财有限责任公司</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产品托管人</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南京银行股份有限公司</w:t>
            </w:r>
          </w:p>
        </w:tc>
      </w:tr>
    </w:tbl>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Calibri"/>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§2  主要财务指标和产品</w:t>
      </w:r>
      <w:r>
        <w:rPr>
          <w:rFonts w:ascii="方正仿宋简体" w:eastAsia="方正仿宋简体" w:hint="eastAsia"/>
          <w:b/>
          <w:sz w:val="24"/>
          <w:szCs w:val="24"/>
        </w:rPr>
        <w:t>业绩比较基准</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2.1 主要财务指标</w:t>
      </w:r>
    </w:p>
    <w:p w:rsidR="007E163C" w:rsidRDefault="008D3CD9">
      <w:pPr>
        <w:spacing w:before="240"/>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122"/>
        <w:gridCol w:w="2551"/>
        <w:gridCol w:w="1418"/>
        <w:gridCol w:w="1275"/>
        <w:gridCol w:w="1956"/>
      </w:tblGrid>
      <w:tr w:rsidR="007E163C">
        <w:tc>
          <w:tcPr>
            <w:tcW w:w="2122" w:type="dxa"/>
            <w:vMerge w:val="restart"/>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00" w:type="dxa"/>
            <w:gridSpan w:val="4"/>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报告期（2025年01月01日 - 2025年12月31日）</w:t>
            </w:r>
          </w:p>
        </w:tc>
      </w:tr>
      <w:tr w:rsidR="007E163C">
        <w:tc>
          <w:tcPr>
            <w:tcW w:w="2122" w:type="dxa"/>
            <w:vMerge/>
            <w:vAlign w:val="center"/>
          </w:tcPr>
          <w:p w:rsidR="007E163C" w:rsidRDefault="007E163C" w:rsidP="00723532">
            <w:pPr>
              <w:spacing w:before="240" w:afterLines="50" w:line="360" w:lineRule="auto"/>
              <w:jc w:val="center"/>
              <w:rPr>
                <w:rFonts w:ascii="方正仿宋简体" w:eastAsia="方正仿宋简体"/>
                <w:sz w:val="24"/>
                <w:szCs w:val="24"/>
              </w:rPr>
            </w:pPr>
          </w:p>
        </w:tc>
        <w:tc>
          <w:tcPr>
            <w:tcW w:w="2551"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1.期末产品最后一个市场交易日资产净值</w:t>
            </w:r>
          </w:p>
        </w:tc>
        <w:tc>
          <w:tcPr>
            <w:tcW w:w="1418"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2.期末产品最后一个市场交易日份额净值</w:t>
            </w:r>
          </w:p>
        </w:tc>
        <w:tc>
          <w:tcPr>
            <w:tcW w:w="1275"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3.期末产品最后一个市场交易日份额累计净值</w:t>
            </w:r>
          </w:p>
        </w:tc>
        <w:tc>
          <w:tcPr>
            <w:tcW w:w="1956"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4.其它费用</w:t>
            </w:r>
          </w:p>
        </w:tc>
      </w:tr>
      <w:tr>
        <w:trPr xsi:nil="true"/>
        <w:tc>
          <w:tcPr>
            <w:tcW w:w="2122"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A32005</w:t>
            </w:r>
          </w:p>
        </w:tc>
        <w:tc>
          <w:tcPr>
            <w:tcW w:w="2551"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3,897,869,943.05</w:t>
            </w:r>
          </w:p>
        </w:tc>
        <w:tc>
          <w:tcPr>
            <w:tcW w:w="1418"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1.1124</w:t>
            </w:r>
          </w:p>
        </w:tc>
        <w:tc>
          <w:tcPr>
            <w:tcW w:w="1275"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1.1124</w:t>
            </w:r>
          </w:p>
        </w:tc>
        <w:tc>
          <w:tcPr>
            <w:tcW w:w="1956" w:type="dxa"/>
            <w:vMerge w:val="restart"/>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21,450.57</w:t>
            </w:r>
          </w:p>
        </w:tc>
      </w:tr>
      <w:tr>
        <w:trPr xsi:nil="true"/>
        <w:tc>
          <w:tcPr>
            <w:tcW w:w="2122"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A32006</w:t>
            </w:r>
          </w:p>
        </w:tc>
        <w:tc>
          <w:tcPr>
            <w:tcW w:w="2551"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554,482,808.25</w:t>
            </w:r>
          </w:p>
        </w:tc>
        <w:tc>
          <w:tcPr>
            <w:tcW w:w="1418"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1.1165</w:t>
            </w:r>
          </w:p>
        </w:tc>
        <w:tc>
          <w:tcPr>
            <w:tcW w:w="1275"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1.1165</w:t>
            </w:r>
          </w:p>
        </w:tc>
        <w:tc>
          <w:tcPr>
            <w:tcW w:w="1956" w:type="dxa"/>
            <w:vMerge w:val="continue"/>
            <w:vAlign w:val="center"/>
            <w:vAlign w:val="center"/>
          </w:tcPr>
          <w:p>
            <w:pPr>
              <w:spacing w:before="240" w:afterLines="50" w:line="360" w:lineRule="auto"/>
              <w:jc w:val="center"/>
              <w:textAlignment w:val="center"/>
              <w:rPr>
                <w:rFonts w:ascii="方正仿宋简体" w:eastAsia="方正仿宋简体"/>
                <w:sz w:val="24"/>
                <w:szCs w:val="24"/>
              </w:rPr>
            </w:pPr>
          </w:p>
        </w:tc>
      </w:tr>
    </w:tbl>
    <w:p w:rsidR="007E163C" w:rsidRDefault="007E163C">
      <w:pPr>
        <w:spacing w:before="240"/>
        <w:jc w:val="right"/>
        <w:rPr>
          <w:rFonts w:ascii="方正仿宋简体" w:eastAsia="方正仿宋简体" w:cs="宋体"/>
          <w:kern w:val="0"/>
          <w:sz w:val="24"/>
          <w:szCs w:val="24"/>
        </w:rPr>
      </w:pP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注：产品净值可能存在未扣除管理人及投资合作机构业绩报酬、赎回费等费用（如有）的情况，实际收益以兑付为准。</w:t>
      </w:r>
    </w:p>
    <w:p w:rsidR="007E163C" w:rsidRDefault="007E163C">
      <w:pPr>
        <w:spacing w:before="240"/>
        <w:rPr>
          <w:rFonts w:ascii="方正仿宋简体" w:eastAsia="方正仿宋简体" w:hAnsi="宋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2.2 产品业绩比较基准</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2.2.1 本报告期产品业绩比较基准</w:t>
      </w:r>
    </w:p>
    <w:tbl>
      <w:tblPr>
        <w:tblW w:w="924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3856"/>
        <w:gridCol w:w="2694"/>
        <w:gridCol w:w="2693"/>
      </w:tblGrid>
      <w:tr w:rsidR="007E163C">
        <w:tc>
          <w:tcPr>
            <w:tcW w:w="3856"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阶段</w:t>
            </w:r>
          </w:p>
        </w:tc>
        <w:tc>
          <w:tcPr>
            <w:tcW w:w="2694"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2693"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业绩比较基准</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2025年01月01日 - 2025年05月12日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A32005</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-0.92%</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2025年05月13日 - 2025年12月31日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A32005</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-0.69%</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2025年01月01日 - 2025年05月12日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A32006</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-0.92%</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2025年05月13日 - 2025年12月31日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A32006</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-0.69%</w:t>
            </w:r>
          </w:p>
        </w:tc>
      </w:tr>
    </w:tbl>
    <w:p w:rsidR="007E163C" w:rsidRDefault="007E163C">
      <w:pPr>
        <w:spacing w:before="240"/>
        <w:rPr>
          <w:rFonts w:ascii="方正仿宋简体" w:eastAsia="方正仿宋简体"/>
          <w:sz w:val="24"/>
          <w:szCs w:val="24"/>
        </w:rPr>
      </w:pPr>
    </w:p>
    <w:p w:rsidR="007E163C" w:rsidRDefault="007E163C">
      <w:pPr>
        <w:spacing w:before="240"/>
        <w:rPr>
          <w:rFonts w:ascii="方正仿宋简体" w:eastAsia="方正仿宋简体"/>
          <w:sz w:val="24"/>
          <w:szCs w:val="24"/>
        </w:rPr>
      </w:pP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§3  管理人报告</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3.1 报告期内产品的投资策略和运作分析</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四季度债市利空因素边际缓解，基金销售费率新规影响下机构赎回边际放缓，央行重启国债买卖，机构博弈利差压缩收益，信用债配置情绪整体有所修复，年末万科债券展期，重要会议释放货币宽松信号，央行呵护跨年资金面，但超长债供给时有扰动，债券收益率窄幅波动，十年国债到期收益率先下后上从1.86%微幅下行至1.85%。</w:t>
        <w:br w:type="textWrapping" w:clear="all"/>
      </w:r>
      <w:r>
        <w:rPr>
          <w:rFonts w:ascii="方正仿宋简体" w:eastAsia="方正仿宋简体" w:hint="eastAsia"/>
          <w:sz w:val="24"/>
          <w:szCs w:val="24"/>
        </w:rPr>
        <w:t>  展望后市，一方面经济弱复苏格局延续，内需疲软、通缩压力仍存，制造业PMI及核心CPI数据持续承压，为货币政策维持宽松提供空间，叠加资金面大概率保持充裕，债市仍具备结构性机会。另一方面长久期债券供需矛盾凸显，超长债供给抬升但基金、保险等配置需求减弱，期限结构错配问题待解，制约长端利率下行空间。后续关注政府债供给节奏、货币政策落地力度、两会政策预期及信用风险事件等因素带来的市场变动，把握波动带来的资产配置窗口。</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3.2 报告期内产品的流动性风险分析</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  本产品持仓中维持合理比例高流动性资产，杠杆处于合理水平，流动性状况较好。</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3.3 报告期内产品的业绩表现</w:t>
      </w:r>
    </w:p>
    <w:p w:rsidR="007E163C" w:rsidRDefault="008D3CD9">
      <w:pPr>
        <w:spacing w:before="240"/>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截至报告期末,本产品A32005份额净值为1.1124元，A32006份额净值为1.1165元。</w:t>
      </w: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hAnsi="Calibri"/>
          <w:b/>
          <w:sz w:val="24"/>
          <w:szCs w:val="24"/>
        </w:rPr>
      </w:pPr>
      <w:r>
        <w:rPr>
          <w:rFonts w:ascii="方正仿宋简体" w:eastAsia="方正仿宋简体" w:hAnsi="Calibri" w:hint="eastAsia"/>
          <w:b/>
          <w:sz w:val="24"/>
          <w:szCs w:val="24"/>
        </w:rPr>
        <w:t>§4  托管人报告</w:t>
      </w:r>
    </w:p>
    <w:p w:rsidR="007E163C" w:rsidRDefault="007E163C">
      <w:pPr>
        <w:spacing w:before="240"/>
        <w:rPr>
          <w:rFonts w:ascii="方正仿宋简体" w:eastAsia="方正仿宋简体" w:hAnsi="Calibri"/>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4.1报告期内托管人遵规守信情况声明</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4.2 托管人对报告期内投资运作遵规守信、净值计算、利润分配等情况的说明</w:t>
      </w:r>
    </w:p>
    <w:p w:rsidR="007E163C" w:rsidRDefault="008D3CD9">
      <w:pPr>
        <w:spacing w:before="240"/>
        <w:rPr>
          <w:rFonts w:ascii="方正仿宋简体" w:eastAsia="方正仿宋简体"/>
          <w:sz w:val="24"/>
          <w:szCs w:val="24"/>
        </w:rPr>
      </w:pPr>
      <w:r>
        <w:rPr>
          <w:rFonts w:ascii="方正仿宋简体" w:eastAsia="方正仿宋简体"/>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4.3 托管人对本报告期内报告中财务信息等内容的真实、准确和完整发表意见</w:t>
      </w:r>
    </w:p>
    <w:p w:rsidR="007E163C" w:rsidRDefault="008D3CD9">
      <w:pPr>
        <w:spacing w:before="240"/>
        <w:rPr>
          <w:rFonts w:ascii="方正仿宋简体" w:eastAsia="方正仿宋简体"/>
          <w:sz w:val="24"/>
          <w:szCs w:val="24"/>
        </w:rPr>
      </w:pPr>
      <w:r>
        <w:rPr>
          <w:rFonts w:ascii="方正仿宋简体" w:eastAsia="方正仿宋简体"/>
          <w:sz w:val="24"/>
          <w:szCs w:val="24"/>
        </w:rPr>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§5  投资组合报告</w:t>
      </w:r>
    </w:p>
    <w:p w:rsidR="007E163C" w:rsidRDefault="007E163C">
      <w:pPr>
        <w:spacing w:before="240"/>
        <w:rPr>
          <w:rFonts w:ascii="方正仿宋简体" w:eastAsia="方正仿宋简体" w:hAnsi="宋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5.1 报告期末产品资产组合情况</w:t>
      </w:r>
    </w:p>
    <w:tbl>
      <w:tblPr>
        <w:tblW w:w="881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38"/>
        <w:gridCol w:w="1843"/>
        <w:gridCol w:w="2976"/>
        <w:gridCol w:w="3261"/>
      </w:tblGrid>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lastRenderedPageBreak/>
              <w:t>序号</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93.59</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6.41</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7E163C">
        <w:tc>
          <w:tcPr>
            <w:tcW w:w="738" w:type="dxa"/>
            <w:vAlign w:val="bottom"/>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43"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2976"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61"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7E163C" w:rsidRDefault="007E163C">
      <w:pPr>
        <w:spacing w:before="240"/>
        <w:rPr>
          <w:rFonts w:ascii="方正仿宋简体" w:eastAsia="方正仿宋简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5.2 报告期末按公允价值占</w:t>
      </w:r>
      <w:r>
        <w:rPr>
          <w:rFonts w:ascii="方正仿宋简体" w:eastAsia="方正仿宋简体"/>
          <w:b/>
          <w:sz w:val="24"/>
          <w:szCs w:val="24"/>
        </w:rPr>
        <w:t>产品</w:t>
      </w:r>
      <w:r>
        <w:rPr>
          <w:rFonts w:ascii="方正仿宋简体" w:eastAsia="方正仿宋简体" w:hint="eastAsia"/>
          <w:b/>
          <w:sz w:val="24"/>
          <w:szCs w:val="24"/>
        </w:rPr>
        <w:t>资产净值比例大小排序的前十名资产投资明细</w:t>
      </w:r>
    </w:p>
    <w:tbl>
      <w:tblPr>
        <w:tblW w:w="88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582"/>
        <w:gridCol w:w="1728"/>
        <w:gridCol w:w="2690"/>
        <w:gridCol w:w="2035"/>
        <w:gridCol w:w="1765"/>
      </w:tblGrid>
      <w:tr w:rsidR="007E163C">
        <w:trPr>
          <w:trHeight w:val="870"/>
        </w:trPr>
        <w:tc>
          <w:tcPr>
            <w:tcW w:w="582"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728"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690"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35"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公允价值(元)</w:t>
            </w:r>
          </w:p>
        </w:tc>
        <w:tc>
          <w:tcPr>
            <w:tcW w:w="1765"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ZJQTT202203100001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鑫元基金-鑫安利得62号集合资产管理计划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3,463,645,710.65</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77.79</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XJCKX202502270001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网商银行活期存款</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272,866,080.92</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6.13</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ZJQTT202207200001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江苏信托鑫盈1号集合资金信托计划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241,682,733.29</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5.43</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ZJQTT202406260001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华鑫证券鑫鑫相印1号集合资产管理计划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130,421,331.08</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2.93</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ZJQTT202309150001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中粮信托-鼎兴6号集合资金信托计划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130,166,091.37</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2.92</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159397</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信用债</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50,458,000.00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1.13</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ZJQTT202405170002</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陆家嘴信托-陆享16号集合资金信托计划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30,409,116.52</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0.68</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250457</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23生态01</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27,149,985.00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0.61</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257855</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25创鸿D1</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27,022,113.00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0.61</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258936</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25靖投D3</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19,999,140.00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0.45</w:t>
            </w:r>
          </w:p>
        </w:tc>
      </w:tr>
    </w:tbl>
    <w:p w:rsidR="007E163C" w:rsidRDefault="007E163C">
      <w:pPr>
        <w:spacing w:before="240"/>
        <w:rPr>
          <w:rFonts w:ascii="方正仿宋简体" w:eastAsia="方正仿宋简体" w:hAnsi="宋体" w:cs="宋体"/>
          <w:sz w:val="24"/>
          <w:szCs w:val="24"/>
          <w:shd w:val="clear" w:color="auto" w:fill="FFFFFF"/>
        </w:rPr>
      </w:pPr>
    </w:p>
    <w:p w:rsidR="007E163C" w:rsidRDefault="008D3CD9">
      <w:pPr>
        <w:spacing w:before="240"/>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lastRenderedPageBreak/>
        <w:t>5.3报告期末非标准化债权类资产明细</w:t>
      </w:r>
    </w:p>
    <w:tbl>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9"/>
        <w:gridCol w:w="1276"/>
        <w:gridCol w:w="1701"/>
        <w:gridCol w:w="1417"/>
        <w:gridCol w:w="1701"/>
        <w:gridCol w:w="1276"/>
        <w:gridCol w:w="851"/>
      </w:tblGrid>
      <w:tr w:rsidR="007E163C">
        <w:tc>
          <w:tcPr>
            <w:tcW w:w="709"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70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w:t>
            </w:r>
          </w:p>
        </w:tc>
        <w:tc>
          <w:tcPr>
            <w:tcW w:w="170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5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xsi:nil="true"/>
        <w:tc>
          <w:tcPr>
            <w:tcW w:w="709"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70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41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70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85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§6投资账户信息</w:t>
      </w:r>
    </w:p>
    <w:tbl>
      <w:tblPr>
        <w:tblW w:w="91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91"/>
        <w:gridCol w:w="2036"/>
        <w:gridCol w:w="2037"/>
        <w:gridCol w:w="2037"/>
        <w:gridCol w:w="2037"/>
      </w:tblGrid>
      <w:tr w:rsidR="007E163C">
        <w:trPr>
          <w:trHeight w:val="705"/>
        </w:trPr>
        <w:tc>
          <w:tcPr>
            <w:tcW w:w="99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203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trHeight w:val="364"/>
        </w:trPr>
        <w:tc>
          <w:tcPr>
            <w:tcW w:w="99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203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0120050000000806</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南银理财悦稳最低持有280天</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7E163C" w:rsidRDefault="007E163C">
      <w:pPr>
        <w:spacing w:before="240"/>
        <w:rPr>
          <w:rFonts w:ascii="方正仿宋简体" w:eastAsia="方正仿宋简体"/>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§7 关联交易情况</w:t>
      </w:r>
    </w:p>
    <w:p w:rsidR="007E163C" w:rsidRDefault="003A6E48">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723532">
        <w:rPr>
          <w:rFonts w:ascii="方正仿宋简体" w:eastAsia="方正仿宋简体" w:hint="eastAsia"/>
          <w:b/>
          <w:sz w:val="24"/>
          <w:szCs w:val="24"/>
        </w:rPr>
        <w:t>.1</w:t>
      </w:r>
      <w:r w:rsidR="008D3CD9">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w:t>
            </w:r>
            <w:r>
              <w:rPr>
                <w:rFonts w:ascii="方正仿宋简体" w:eastAsia="方正仿宋简体" w:hint="eastAsia"/>
                <w:sz w:val="24"/>
                <w:szCs w:val="24"/>
              </w:rPr>
              <w:lastRenderedPageBreak/>
              <w:t>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总金额（单位：</w:t>
            </w:r>
            <w:r>
              <w:rPr>
                <w:rFonts w:ascii="方正仿宋简体" w:eastAsia="方正仿宋简体" w:hint="eastAsia"/>
                <w:sz w:val="24"/>
                <w:szCs w:val="24"/>
              </w:rPr>
              <w:lastRenderedPageBreak/>
              <w:t>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7E163C" w:rsidRDefault="00823928">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405AE9">
        <w:rPr>
          <w:rFonts w:ascii="方正仿宋简体" w:eastAsia="方正仿宋简体" w:hint="eastAsia"/>
          <w:b/>
          <w:sz w:val="24"/>
          <w:szCs w:val="24"/>
        </w:rPr>
        <w:t>.</w:t>
      </w:r>
      <w:r w:rsidR="008D3CD9">
        <w:rPr>
          <w:rFonts w:ascii="方正仿宋简体" w:eastAsia="方正仿宋简体" w:hint="eastAsia"/>
          <w:b/>
          <w:sz w:val="24"/>
          <w:szCs w:val="24"/>
        </w:rPr>
        <w:t>2产品投资于关联方承销的证券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7E163C" w:rsidRDefault="004A761B">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C03FE9">
        <w:rPr>
          <w:rFonts w:ascii="方正仿宋简体" w:eastAsia="方正仿宋简体" w:hint="eastAsia"/>
          <w:b/>
          <w:sz w:val="24"/>
          <w:szCs w:val="24"/>
        </w:rPr>
        <w:t>.</w:t>
      </w:r>
      <w:r w:rsidR="008D3CD9">
        <w:rPr>
          <w:rFonts w:ascii="方正仿宋简体" w:eastAsia="方正仿宋简体" w:hint="eastAsia"/>
          <w:b/>
          <w:sz w:val="24"/>
          <w:szCs w:val="24"/>
        </w:rPr>
        <w:t>3产品投资于关联方发行的资产管理产品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鑫元基金-鑫安利得62号集合资产管理计划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ZJQTT202203100001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2823646425.81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3145000000.00</w:t>
            </w:r>
          </w:p>
        </w:tc>
      </w:tr>
    </w:tbl>
    <w:p w:rsidR="007E163C" w:rsidRDefault="00985A4B">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EC640C">
        <w:rPr>
          <w:rFonts w:ascii="方正仿宋简体" w:eastAsia="方正仿宋简体" w:hint="eastAsia"/>
          <w:b/>
          <w:sz w:val="24"/>
          <w:szCs w:val="24"/>
        </w:rPr>
        <w:t>.</w:t>
      </w:r>
      <w:r w:rsidR="008D3CD9">
        <w:rPr>
          <w:rFonts w:ascii="方正仿宋简体" w:eastAsia="方正仿宋简体" w:hint="eastAsia"/>
          <w:b/>
          <w:sz w:val="24"/>
          <w:szCs w:val="24"/>
        </w:rPr>
        <w:t>4其他关联交易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7E163C">
        <w:trPr>
          <w:trHeight w:val="1048"/>
          <w:jc w:val="center"/>
        </w:trPr>
        <w:tc>
          <w:tcPr>
            <w:tcW w:w="877"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2842"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日照银行股份有限公司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148112.62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4021685.27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360350.37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991590.54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12000.00</w:t>
            </w:r>
          </w:p>
        </w:tc>
      </w:tr>
    </w:tbl>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7E163C" w:rsidRDefault="008D3CD9">
      <w:pPr>
        <w:spacing w:before="240"/>
        <w:jc w:val="right"/>
        <w:rPr>
          <w:rFonts w:ascii="方正仿宋简体" w:eastAsia="方正仿宋简体"/>
          <w:b/>
          <w:sz w:val="24"/>
          <w:szCs w:val="24"/>
        </w:rPr>
      </w:pPr>
      <w:r>
        <w:rPr>
          <w:rFonts w:ascii="方正仿宋简体" w:eastAsia="方正仿宋简体" w:hint="eastAsia"/>
          <w:b/>
          <w:sz w:val="24"/>
          <w:szCs w:val="24"/>
        </w:rPr>
        <w:t>2025年12月31日</w:t>
      </w:r>
    </w:p>
    <w:sectPr w:rsidR="007E163C" w:rsidSect="007E163C">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74C" w:rsidRDefault="00E0174C" w:rsidP="007E163C">
      <w:r>
        <w:separator/>
      </w:r>
    </w:p>
  </w:endnote>
  <w:endnote w:type="continuationSeparator" w:id="1">
    <w:p w:rsidR="00E0174C" w:rsidRDefault="00E0174C" w:rsidP="007E1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A42D4B">
    <w:pPr>
      <w:pStyle w:val="a5"/>
      <w:framePr w:wrap="around" w:vAnchor="text" w:hAnchor="margin" w:xAlign="center" w:y="1"/>
      <w:rPr>
        <w:rStyle w:val="aa"/>
      </w:rPr>
    </w:pPr>
    <w:r>
      <w:fldChar w:fldCharType="begin"/>
    </w:r>
    <w:r w:rsidR="008D3CD9">
      <w:rPr>
        <w:rStyle w:val="aa"/>
      </w:rPr>
      <w:instrText xml:space="preserve">PAGE  </w:instrText>
    </w:r>
    <w:r>
      <w:fldChar w:fldCharType="end"/>
    </w:r>
  </w:p>
  <w:p w:rsidR="007E163C" w:rsidRDefault="007E163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74C" w:rsidRDefault="00E0174C" w:rsidP="007E163C">
      <w:r>
        <w:separator/>
      </w:r>
    </w:p>
  </w:footnote>
  <w:footnote w:type="continuationSeparator" w:id="1">
    <w:p w:rsidR="00E0174C" w:rsidRDefault="00E0174C" w:rsidP="007E1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5122"/>
  </w:hdrShapeDefaults>
  <w:footnotePr>
    <w:footnote w:id="0"/>
    <w:footnote w:id="1"/>
  </w:footnotePr>
  <w:endnotePr>
    <w:endnote w:id="0"/>
    <w:endnote w:id="1"/>
  </w:endnotePr>
  <w:compat>
    <w:doNotExpandShiftReturn/>
    <w:useFELayout/>
  </w:compat>
  <w:rsids>
    <w:rsidRoot w:val="00172A27"/>
    <w:rsid w:val="000020F7"/>
    <w:rsid w:val="000060E5"/>
    <w:rsid w:val="0001734B"/>
    <w:rsid w:val="000234FF"/>
    <w:rsid w:val="00026D52"/>
    <w:rsid w:val="000318AA"/>
    <w:rsid w:val="00034FF6"/>
    <w:rsid w:val="00044BFF"/>
    <w:rsid w:val="000470C2"/>
    <w:rsid w:val="0005474A"/>
    <w:rsid w:val="00061725"/>
    <w:rsid w:val="00082D5F"/>
    <w:rsid w:val="00095B95"/>
    <w:rsid w:val="000A3711"/>
    <w:rsid w:val="000D5066"/>
    <w:rsid w:val="000E3A08"/>
    <w:rsid w:val="000E6ACE"/>
    <w:rsid w:val="000F6191"/>
    <w:rsid w:val="001279EA"/>
    <w:rsid w:val="00130CE8"/>
    <w:rsid w:val="0014449D"/>
    <w:rsid w:val="00152201"/>
    <w:rsid w:val="00172A27"/>
    <w:rsid w:val="001735BA"/>
    <w:rsid w:val="00176636"/>
    <w:rsid w:val="00183C84"/>
    <w:rsid w:val="001B497D"/>
    <w:rsid w:val="001C05F9"/>
    <w:rsid w:val="001C5395"/>
    <w:rsid w:val="001E2EEA"/>
    <w:rsid w:val="001E5905"/>
    <w:rsid w:val="001E7120"/>
    <w:rsid w:val="00211F26"/>
    <w:rsid w:val="00224D9D"/>
    <w:rsid w:val="002263FC"/>
    <w:rsid w:val="002448E3"/>
    <w:rsid w:val="00247A0A"/>
    <w:rsid w:val="0026638C"/>
    <w:rsid w:val="00295E85"/>
    <w:rsid w:val="002A3AE9"/>
    <w:rsid w:val="002C196E"/>
    <w:rsid w:val="002C4810"/>
    <w:rsid w:val="002C555A"/>
    <w:rsid w:val="002D2DB0"/>
    <w:rsid w:val="002D6D6F"/>
    <w:rsid w:val="002D75D0"/>
    <w:rsid w:val="002E7131"/>
    <w:rsid w:val="002E795C"/>
    <w:rsid w:val="003041BA"/>
    <w:rsid w:val="00305714"/>
    <w:rsid w:val="00313E71"/>
    <w:rsid w:val="00321CB7"/>
    <w:rsid w:val="003379A9"/>
    <w:rsid w:val="00350ADF"/>
    <w:rsid w:val="00355623"/>
    <w:rsid w:val="00387F9B"/>
    <w:rsid w:val="00392C61"/>
    <w:rsid w:val="003A0419"/>
    <w:rsid w:val="003A6E48"/>
    <w:rsid w:val="003B7361"/>
    <w:rsid w:val="003C4D3B"/>
    <w:rsid w:val="003D4B6E"/>
    <w:rsid w:val="003E09EA"/>
    <w:rsid w:val="003E412C"/>
    <w:rsid w:val="003F0AC3"/>
    <w:rsid w:val="003F38EF"/>
    <w:rsid w:val="00405AE9"/>
    <w:rsid w:val="00456251"/>
    <w:rsid w:val="00492870"/>
    <w:rsid w:val="004A2DC3"/>
    <w:rsid w:val="004A761B"/>
    <w:rsid w:val="004B3B60"/>
    <w:rsid w:val="004B5DED"/>
    <w:rsid w:val="004C1607"/>
    <w:rsid w:val="004E621E"/>
    <w:rsid w:val="004F2359"/>
    <w:rsid w:val="004F313C"/>
    <w:rsid w:val="00500DE2"/>
    <w:rsid w:val="005069D8"/>
    <w:rsid w:val="0051077F"/>
    <w:rsid w:val="00521B27"/>
    <w:rsid w:val="00522858"/>
    <w:rsid w:val="0055440C"/>
    <w:rsid w:val="0056130A"/>
    <w:rsid w:val="0056162E"/>
    <w:rsid w:val="00563B93"/>
    <w:rsid w:val="00567DB3"/>
    <w:rsid w:val="00581E78"/>
    <w:rsid w:val="00594CF2"/>
    <w:rsid w:val="00595354"/>
    <w:rsid w:val="005B3434"/>
    <w:rsid w:val="005B3C9E"/>
    <w:rsid w:val="005B5092"/>
    <w:rsid w:val="005B7384"/>
    <w:rsid w:val="005D5ED6"/>
    <w:rsid w:val="005E0686"/>
    <w:rsid w:val="005E2884"/>
    <w:rsid w:val="005E40C5"/>
    <w:rsid w:val="005E5050"/>
    <w:rsid w:val="005F2C7B"/>
    <w:rsid w:val="005F43AF"/>
    <w:rsid w:val="005F4D04"/>
    <w:rsid w:val="005F7DA9"/>
    <w:rsid w:val="006054F8"/>
    <w:rsid w:val="0065419A"/>
    <w:rsid w:val="00654220"/>
    <w:rsid w:val="00663B94"/>
    <w:rsid w:val="00677F66"/>
    <w:rsid w:val="00691C4B"/>
    <w:rsid w:val="006A77A0"/>
    <w:rsid w:val="006B63CE"/>
    <w:rsid w:val="006C1014"/>
    <w:rsid w:val="006E0CC3"/>
    <w:rsid w:val="006E4E94"/>
    <w:rsid w:val="006F26CF"/>
    <w:rsid w:val="006F69B2"/>
    <w:rsid w:val="007017D8"/>
    <w:rsid w:val="00723532"/>
    <w:rsid w:val="00730BEE"/>
    <w:rsid w:val="0073101E"/>
    <w:rsid w:val="00735153"/>
    <w:rsid w:val="00741E97"/>
    <w:rsid w:val="00745421"/>
    <w:rsid w:val="00745F96"/>
    <w:rsid w:val="00774E0A"/>
    <w:rsid w:val="00782F29"/>
    <w:rsid w:val="007A4219"/>
    <w:rsid w:val="007B08DF"/>
    <w:rsid w:val="007E0B6E"/>
    <w:rsid w:val="007E163C"/>
    <w:rsid w:val="007E4637"/>
    <w:rsid w:val="00800690"/>
    <w:rsid w:val="0080200C"/>
    <w:rsid w:val="00814110"/>
    <w:rsid w:val="00823928"/>
    <w:rsid w:val="0082561A"/>
    <w:rsid w:val="00846B2E"/>
    <w:rsid w:val="0085663C"/>
    <w:rsid w:val="00870717"/>
    <w:rsid w:val="008768AB"/>
    <w:rsid w:val="008870FD"/>
    <w:rsid w:val="008904CC"/>
    <w:rsid w:val="008926F7"/>
    <w:rsid w:val="008A7510"/>
    <w:rsid w:val="008C78BD"/>
    <w:rsid w:val="008D3CD9"/>
    <w:rsid w:val="008D57C5"/>
    <w:rsid w:val="008F099C"/>
    <w:rsid w:val="008F0FA3"/>
    <w:rsid w:val="00900D90"/>
    <w:rsid w:val="00902630"/>
    <w:rsid w:val="00931BD2"/>
    <w:rsid w:val="009354D6"/>
    <w:rsid w:val="00956754"/>
    <w:rsid w:val="009679B0"/>
    <w:rsid w:val="00970A98"/>
    <w:rsid w:val="00977E89"/>
    <w:rsid w:val="00985A4B"/>
    <w:rsid w:val="00994F2E"/>
    <w:rsid w:val="009A4E79"/>
    <w:rsid w:val="009B1695"/>
    <w:rsid w:val="009B2EEF"/>
    <w:rsid w:val="009C4574"/>
    <w:rsid w:val="009C6A99"/>
    <w:rsid w:val="009C781F"/>
    <w:rsid w:val="009D5296"/>
    <w:rsid w:val="009E6170"/>
    <w:rsid w:val="009F1FD4"/>
    <w:rsid w:val="009F4338"/>
    <w:rsid w:val="009F6D0D"/>
    <w:rsid w:val="00A204A0"/>
    <w:rsid w:val="00A42D4B"/>
    <w:rsid w:val="00A4484F"/>
    <w:rsid w:val="00A61A43"/>
    <w:rsid w:val="00A66D8E"/>
    <w:rsid w:val="00A76D4B"/>
    <w:rsid w:val="00A77C47"/>
    <w:rsid w:val="00A9119C"/>
    <w:rsid w:val="00A94A56"/>
    <w:rsid w:val="00AA4549"/>
    <w:rsid w:val="00AA4D99"/>
    <w:rsid w:val="00AA5B04"/>
    <w:rsid w:val="00AC5144"/>
    <w:rsid w:val="00B13014"/>
    <w:rsid w:val="00B17559"/>
    <w:rsid w:val="00B23E1D"/>
    <w:rsid w:val="00B33978"/>
    <w:rsid w:val="00B33B19"/>
    <w:rsid w:val="00B404E6"/>
    <w:rsid w:val="00B4360D"/>
    <w:rsid w:val="00B43E89"/>
    <w:rsid w:val="00B61EA9"/>
    <w:rsid w:val="00B670D1"/>
    <w:rsid w:val="00B74DCA"/>
    <w:rsid w:val="00B90CE8"/>
    <w:rsid w:val="00BC3903"/>
    <w:rsid w:val="00BD0A6A"/>
    <w:rsid w:val="00BE47E0"/>
    <w:rsid w:val="00BF3D9D"/>
    <w:rsid w:val="00BF75C8"/>
    <w:rsid w:val="00C03FE9"/>
    <w:rsid w:val="00C1762E"/>
    <w:rsid w:val="00C20F36"/>
    <w:rsid w:val="00C25123"/>
    <w:rsid w:val="00C2582A"/>
    <w:rsid w:val="00C30A48"/>
    <w:rsid w:val="00C375A7"/>
    <w:rsid w:val="00C44DFE"/>
    <w:rsid w:val="00C62DF8"/>
    <w:rsid w:val="00C640FB"/>
    <w:rsid w:val="00C86023"/>
    <w:rsid w:val="00C935FD"/>
    <w:rsid w:val="00C94EBA"/>
    <w:rsid w:val="00CB054E"/>
    <w:rsid w:val="00CB417C"/>
    <w:rsid w:val="00CC52D7"/>
    <w:rsid w:val="00CE4DED"/>
    <w:rsid w:val="00CF3BBF"/>
    <w:rsid w:val="00D15B21"/>
    <w:rsid w:val="00D23AB6"/>
    <w:rsid w:val="00D50309"/>
    <w:rsid w:val="00D51AA9"/>
    <w:rsid w:val="00D7264A"/>
    <w:rsid w:val="00D84E43"/>
    <w:rsid w:val="00D870DF"/>
    <w:rsid w:val="00DA30A0"/>
    <w:rsid w:val="00DB0C2F"/>
    <w:rsid w:val="00DB2A0F"/>
    <w:rsid w:val="00DB3BF6"/>
    <w:rsid w:val="00DB56A2"/>
    <w:rsid w:val="00DC31CC"/>
    <w:rsid w:val="00DC728A"/>
    <w:rsid w:val="00DD2F3C"/>
    <w:rsid w:val="00DD4E8C"/>
    <w:rsid w:val="00DD65B5"/>
    <w:rsid w:val="00DF6907"/>
    <w:rsid w:val="00E0174C"/>
    <w:rsid w:val="00E1059D"/>
    <w:rsid w:val="00E155DF"/>
    <w:rsid w:val="00E15FF4"/>
    <w:rsid w:val="00E246E1"/>
    <w:rsid w:val="00E314CE"/>
    <w:rsid w:val="00E41EA0"/>
    <w:rsid w:val="00E514EB"/>
    <w:rsid w:val="00E52823"/>
    <w:rsid w:val="00E52B10"/>
    <w:rsid w:val="00E600D0"/>
    <w:rsid w:val="00E7192D"/>
    <w:rsid w:val="00E82AB5"/>
    <w:rsid w:val="00E944FA"/>
    <w:rsid w:val="00E9797A"/>
    <w:rsid w:val="00EB0DB4"/>
    <w:rsid w:val="00EC640C"/>
    <w:rsid w:val="00EE0436"/>
    <w:rsid w:val="00EF0A98"/>
    <w:rsid w:val="00F41324"/>
    <w:rsid w:val="00F57C12"/>
    <w:rsid w:val="00F609FD"/>
    <w:rsid w:val="00F64BD9"/>
    <w:rsid w:val="00F7052D"/>
    <w:rsid w:val="00F771E3"/>
    <w:rsid w:val="00F8162C"/>
    <w:rsid w:val="00F82713"/>
    <w:rsid w:val="00F84F36"/>
    <w:rsid w:val="00F859AB"/>
    <w:rsid w:val="00F907A7"/>
    <w:rsid w:val="00F950D0"/>
    <w:rsid w:val="00FA0110"/>
    <w:rsid w:val="00FA2C26"/>
    <w:rsid w:val="00FD1F12"/>
    <w:rsid w:val="00FD412B"/>
    <w:rsid w:val="00FF26C8"/>
    <w:rsid w:val="016D581F"/>
    <w:rsid w:val="030F2BA7"/>
    <w:rsid w:val="04240CEE"/>
    <w:rsid w:val="065551D3"/>
    <w:rsid w:val="06C37561"/>
    <w:rsid w:val="0A236A5A"/>
    <w:rsid w:val="10992483"/>
    <w:rsid w:val="111D4539"/>
    <w:rsid w:val="13297F9C"/>
    <w:rsid w:val="134727C6"/>
    <w:rsid w:val="141A5102"/>
    <w:rsid w:val="159E25E1"/>
    <w:rsid w:val="15FE575C"/>
    <w:rsid w:val="1ADC05C7"/>
    <w:rsid w:val="1E911FB2"/>
    <w:rsid w:val="20F325AF"/>
    <w:rsid w:val="216F6F5C"/>
    <w:rsid w:val="22D04645"/>
    <w:rsid w:val="22E23E75"/>
    <w:rsid w:val="2555668E"/>
    <w:rsid w:val="25AF3A81"/>
    <w:rsid w:val="26FD4196"/>
    <w:rsid w:val="28CD1EA7"/>
    <w:rsid w:val="29F7636C"/>
    <w:rsid w:val="2A2232BA"/>
    <w:rsid w:val="32955A2A"/>
    <w:rsid w:val="32AE1BB2"/>
    <w:rsid w:val="35105304"/>
    <w:rsid w:val="36341C31"/>
    <w:rsid w:val="368076E6"/>
    <w:rsid w:val="378F5AE0"/>
    <w:rsid w:val="37F709A6"/>
    <w:rsid w:val="38980A6C"/>
    <w:rsid w:val="39E872E9"/>
    <w:rsid w:val="3ABE1FB8"/>
    <w:rsid w:val="3C753CC7"/>
    <w:rsid w:val="3F2C3B54"/>
    <w:rsid w:val="40990310"/>
    <w:rsid w:val="459870AF"/>
    <w:rsid w:val="45ED49CE"/>
    <w:rsid w:val="46F0109E"/>
    <w:rsid w:val="47475A63"/>
    <w:rsid w:val="4E276A76"/>
    <w:rsid w:val="509017BA"/>
    <w:rsid w:val="51482FC3"/>
    <w:rsid w:val="51C55614"/>
    <w:rsid w:val="52830253"/>
    <w:rsid w:val="541C469D"/>
    <w:rsid w:val="5BE61B5E"/>
    <w:rsid w:val="5F8D2B89"/>
    <w:rsid w:val="602D020F"/>
    <w:rsid w:val="64C67B5C"/>
    <w:rsid w:val="66B51B39"/>
    <w:rsid w:val="66F47EBC"/>
    <w:rsid w:val="681903E9"/>
    <w:rsid w:val="68823415"/>
    <w:rsid w:val="6898111C"/>
    <w:rsid w:val="6A485270"/>
    <w:rsid w:val="6D05415D"/>
    <w:rsid w:val="6F66394D"/>
    <w:rsid w:val="73193673"/>
    <w:rsid w:val="74543F24"/>
    <w:rsid w:val="74BE328D"/>
    <w:rsid w:val="75523113"/>
    <w:rsid w:val="780E0FCF"/>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6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E163C"/>
    <w:pPr>
      <w:jc w:val="left"/>
    </w:pPr>
  </w:style>
  <w:style w:type="paragraph" w:styleId="a4">
    <w:name w:val="Balloon Text"/>
    <w:basedOn w:val="a"/>
    <w:link w:val="Char0"/>
    <w:uiPriority w:val="99"/>
    <w:unhideWhenUsed/>
    <w:qFormat/>
    <w:rsid w:val="007E163C"/>
    <w:rPr>
      <w:sz w:val="18"/>
      <w:szCs w:val="18"/>
    </w:rPr>
  </w:style>
  <w:style w:type="paragraph" w:styleId="a5">
    <w:name w:val="footer"/>
    <w:basedOn w:val="a"/>
    <w:link w:val="Char1"/>
    <w:uiPriority w:val="99"/>
    <w:unhideWhenUsed/>
    <w:qFormat/>
    <w:rsid w:val="007E163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E163C"/>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unhideWhenUsed/>
    <w:qFormat/>
    <w:rsid w:val="007E163C"/>
    <w:pPr>
      <w:snapToGrid w:val="0"/>
      <w:jc w:val="left"/>
    </w:pPr>
    <w:rPr>
      <w:sz w:val="18"/>
    </w:rPr>
  </w:style>
  <w:style w:type="paragraph" w:styleId="a8">
    <w:name w:val="Normal (Web)"/>
    <w:basedOn w:val="a"/>
    <w:qFormat/>
    <w:rsid w:val="007E163C"/>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unhideWhenUsed/>
    <w:qFormat/>
    <w:rsid w:val="007E163C"/>
    <w:rPr>
      <w:b/>
      <w:bCs/>
    </w:rPr>
  </w:style>
  <w:style w:type="character" w:styleId="aa">
    <w:name w:val="page number"/>
    <w:basedOn w:val="a0"/>
    <w:uiPriority w:val="99"/>
    <w:unhideWhenUsed/>
    <w:qFormat/>
    <w:rsid w:val="007E163C"/>
  </w:style>
  <w:style w:type="character" w:styleId="ab">
    <w:name w:val="annotation reference"/>
    <w:uiPriority w:val="99"/>
    <w:unhideWhenUsed/>
    <w:qFormat/>
    <w:rsid w:val="007E163C"/>
    <w:rPr>
      <w:sz w:val="21"/>
      <w:szCs w:val="21"/>
    </w:rPr>
  </w:style>
  <w:style w:type="character" w:styleId="ac">
    <w:name w:val="footnote reference"/>
    <w:uiPriority w:val="99"/>
    <w:unhideWhenUsed/>
    <w:qFormat/>
    <w:rsid w:val="007E163C"/>
    <w:rPr>
      <w:vertAlign w:val="superscript"/>
    </w:rPr>
  </w:style>
  <w:style w:type="character" w:customStyle="1" w:styleId="Char0">
    <w:name w:val="批注框文本 Char"/>
    <w:link w:val="a4"/>
    <w:uiPriority w:val="99"/>
    <w:semiHidden/>
    <w:qFormat/>
    <w:rsid w:val="007E163C"/>
    <w:rPr>
      <w:kern w:val="2"/>
      <w:sz w:val="18"/>
      <w:szCs w:val="18"/>
    </w:rPr>
  </w:style>
  <w:style w:type="character" w:customStyle="1" w:styleId="Char2">
    <w:name w:val="页眉 Char"/>
    <w:link w:val="a6"/>
    <w:uiPriority w:val="99"/>
    <w:semiHidden/>
    <w:qFormat/>
    <w:locked/>
    <w:rsid w:val="007E163C"/>
    <w:rPr>
      <w:rFonts w:ascii="Times New Roman" w:hAnsi="Times New Roman" w:cs="Times New Roman" w:hint="default"/>
      <w:sz w:val="18"/>
      <w:szCs w:val="18"/>
    </w:rPr>
  </w:style>
  <w:style w:type="character" w:customStyle="1" w:styleId="Char3">
    <w:name w:val="批注主题 Char"/>
    <w:link w:val="a9"/>
    <w:uiPriority w:val="99"/>
    <w:semiHidden/>
    <w:qFormat/>
    <w:rsid w:val="007E163C"/>
    <w:rPr>
      <w:b/>
      <w:bCs/>
      <w:kern w:val="2"/>
      <w:sz w:val="21"/>
      <w:szCs w:val="22"/>
    </w:rPr>
  </w:style>
  <w:style w:type="character" w:customStyle="1" w:styleId="Char1">
    <w:name w:val="页脚 Char"/>
    <w:link w:val="a5"/>
    <w:uiPriority w:val="99"/>
    <w:semiHidden/>
    <w:qFormat/>
    <w:locked/>
    <w:rsid w:val="007E163C"/>
    <w:rPr>
      <w:rFonts w:ascii="Times New Roman" w:hAnsi="Times New Roman" w:cs="Times New Roman" w:hint="default"/>
      <w:sz w:val="18"/>
      <w:szCs w:val="18"/>
    </w:rPr>
  </w:style>
  <w:style w:type="character" w:customStyle="1" w:styleId="Char">
    <w:name w:val="批注文字 Char"/>
    <w:link w:val="a3"/>
    <w:uiPriority w:val="99"/>
    <w:qFormat/>
    <w:rsid w:val="007E163C"/>
    <w:rPr>
      <w:kern w:val="2"/>
      <w:sz w:val="21"/>
      <w:szCs w:val="22"/>
    </w:rPr>
  </w:style>
  <w:style w:type="paragraph" w:customStyle="1" w:styleId="zhongyaotishi">
    <w:name w:val="zhongyaotishi"/>
    <w:basedOn w:val="a"/>
    <w:qFormat/>
    <w:rsid w:val="007E163C"/>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7E163C"/>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7E163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7E163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7E163C"/>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7E163C"/>
    <w:pPr>
      <w:widowControl w:val="0"/>
      <w:jc w:val="center"/>
    </w:pPr>
    <w:rPr>
      <w:kern w:val="2"/>
      <w:sz w:val="33"/>
      <w:szCs w:val="22"/>
    </w:rPr>
  </w:style>
  <w:style w:type="paragraph" w:customStyle="1" w:styleId="biaogeleft">
    <w:name w:val="biaoge_left"/>
    <w:basedOn w:val="a"/>
    <w:qFormat/>
    <w:rsid w:val="007E163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7E163C"/>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7E163C"/>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7E163C"/>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7E163C"/>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7E163C"/>
    <w:pPr>
      <w:widowControl w:val="0"/>
    </w:pPr>
    <w:rPr>
      <w:kern w:val="2"/>
      <w:sz w:val="21"/>
      <w:szCs w:val="22"/>
    </w:rPr>
  </w:style>
  <w:style w:type="paragraph" w:customStyle="1" w:styleId="neirong">
    <w:name w:val="neirong"/>
    <w:basedOn w:val="a"/>
    <w:qFormat/>
    <w:rsid w:val="007E163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7E163C"/>
    <w:pPr>
      <w:jc w:val="both"/>
    </w:pPr>
    <w:rPr>
      <w:kern w:val="2"/>
      <w:sz w:val="21"/>
      <w:szCs w:val="21"/>
    </w:rPr>
  </w:style>
  <w:style w:type="paragraph" w:customStyle="1" w:styleId="Default">
    <w:name w:val="Default"/>
    <w:qFormat/>
    <w:rsid w:val="007E163C"/>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454</Words>
  <Characters>2591</Characters>
  <Application>Microsoft Office Word</Application>
  <DocSecurity>0</DocSecurity>
  <Lines>21</Lines>
  <Paragraphs>6</Paragraphs>
  <ScaleCrop>false</ScaleCrop>
  <Company>微软中国</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2022-07-26T07:21:00Z</dcterms:created>
  <dc:creator>总行金融市场部本币投资交易部梅浩超</dc:creator>
  <cp:lastModifiedBy>yytx</cp:lastModifiedBy>
  <cp:lastPrinted>2019-09-11T00:56:00Z</cp:lastPrinted>
  <dcterms:modified xsi:type="dcterms:W3CDTF">2026-03-27T09:11:00Z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E985CFFC20A84641A474BCD722FC7BF1</vt:lpwstr>
  </property>
</Properties>
</file>