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信创CRS</w:t>
      </w:r>
      <w:r>
        <w:rPr>
          <w:rFonts w:hint="eastAsia"/>
          <w:b/>
          <w:bCs/>
          <w:sz w:val="40"/>
          <w:szCs w:val="40"/>
        </w:rPr>
        <w:t>存取款一体机配置需求表</w:t>
      </w:r>
      <w:r>
        <w:rPr>
          <w:rFonts w:hint="eastAsia"/>
          <w:b/>
          <w:bCs/>
          <w:sz w:val="40"/>
          <w:szCs w:val="40"/>
          <w:lang w:eastAsia="zh-CN"/>
        </w:rPr>
        <w:t>（</w:t>
      </w:r>
      <w:r>
        <w:rPr>
          <w:rFonts w:hint="eastAsia"/>
          <w:b/>
          <w:bCs/>
          <w:sz w:val="40"/>
          <w:szCs w:val="40"/>
          <w:lang w:val="en-US" w:eastAsia="zh-CN"/>
        </w:rPr>
        <w:t>版本2</w:t>
      </w:r>
      <w:r>
        <w:rPr>
          <w:rFonts w:hint="eastAsia"/>
          <w:b/>
          <w:bCs/>
          <w:sz w:val="40"/>
          <w:szCs w:val="40"/>
          <w:lang w:eastAsia="zh-CN"/>
        </w:rPr>
        <w:t>）</w:t>
      </w:r>
    </w:p>
    <w:tbl>
      <w:tblPr>
        <w:tblStyle w:val="7"/>
        <w:tblW w:w="50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58"/>
        <w:gridCol w:w="1405"/>
        <w:gridCol w:w="4545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2053" w:type="pct"/>
            <w:gridSpan w:val="3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规格</w:t>
            </w:r>
          </w:p>
        </w:tc>
        <w:tc>
          <w:tcPr>
            <w:tcW w:w="679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napToGrid/>
                <w:kern w:val="2"/>
                <w:sz w:val="28"/>
                <w:szCs w:val="28"/>
                <w:highlight w:val="none"/>
              </w:rPr>
              <w:t>是否必须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主控</w:t>
            </w:r>
          </w:p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部分</w:t>
            </w: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 w:eastAsia="宋体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CPU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 w:eastAsia="宋体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飞腾FT-2000四核，主频2.6Ghz或以上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内存</w:t>
            </w: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DDR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内存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default" w:eastAsia="宋体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GB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 xml:space="preserve"> 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存储硬件</w:t>
            </w: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 w:eastAsia="宋体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硬盘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256 SSD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 w:eastAsia="宋体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硬盘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1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TB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 xml:space="preserve"> HDD或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eastAsia="宋体"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eastAsia="宋体" w:cs="Arial"/>
                <w:snapToGrid/>
                <w:kern w:val="2"/>
                <w:sz w:val="24"/>
                <w:szCs w:val="24"/>
                <w:highlight w:val="none"/>
              </w:rPr>
              <w:t>操作系统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eastAsia="宋体"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eastAsia="宋体" w:cs="Arial"/>
                <w:snapToGrid/>
                <w:kern w:val="2"/>
                <w:sz w:val="24"/>
                <w:szCs w:val="24"/>
                <w:highlight w:val="none"/>
              </w:rPr>
              <w:t>统信、麒麟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串口数量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default" w:eastAsia="宋体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1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个</w:t>
            </w:r>
            <w:bookmarkStart w:id="0" w:name="_GoBack"/>
            <w:bookmarkEnd w:id="0"/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 xml:space="preserve"> 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USB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接口数量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8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个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 xml:space="preserve"> 或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网卡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1000Mbps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主板集成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电源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default" w:eastAsia="宋体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200W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主控部电源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 xml:space="preserve"> 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客户操作部分</w:t>
            </w:r>
          </w:p>
        </w:tc>
        <w:tc>
          <w:tcPr>
            <w:tcW w:w="777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客户显示屏</w:t>
            </w: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规格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default" w:eastAsia="宋体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15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寸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 TFT LCD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 xml:space="preserve"> 或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分辨率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1024 X 768 Resolution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亮度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300 cd/m²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输入部分</w:t>
            </w:r>
          </w:p>
        </w:tc>
        <w:tc>
          <w:tcPr>
            <w:tcW w:w="700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触摸屏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default" w:eastAsia="宋体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15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寸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红外触摸屏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 xml:space="preserve"> 或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USB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通讯接口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功能键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4X2 (NDC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样式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防窥屏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15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寸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, 30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%，防暴、防窥视，防窥视角度小于45度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向导灯</w:t>
            </w: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闪烁</w:t>
            </w:r>
          </w:p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指示灯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凭条口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/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密码键盘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/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读卡器口闪烁指示灯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照明灯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存取钞口闸门内照明灯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柜员操作部分</w:t>
            </w:r>
          </w:p>
        </w:tc>
        <w:tc>
          <w:tcPr>
            <w:tcW w:w="777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柜员操作</w:t>
            </w:r>
          </w:p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屏幕</w:t>
            </w: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规格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10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寸以上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 TFT LCD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分辨率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1024 X 768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亮度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200 cd/m²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当选择大堂机时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交易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/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维护模式切换开关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密码</w:t>
            </w:r>
          </w:p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键盘</w:t>
            </w: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EPP</w:t>
            </w:r>
            <w:r>
              <w:rPr>
                <w:snapToGrid/>
                <w:kern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金属 硬加密键盘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16键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密码输入支持国家密码算法的芯片硬加密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支持国密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符合Visa和MasterCard的PCI PTS 5.1标准、中国银联《银行卡受理终端产品安全认证UPTS V2.0》标准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符合PCI认证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防水，防尘，防爆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是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3DES加密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符合3DES标准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防窥罩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防撬键盘防窥罩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盲文提示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具有盲文提示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读卡器</w:t>
            </w: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读卡方式</w:t>
            </w:r>
          </w:p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(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吸入式、接触式、触摸式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吸入式，支持抖动进卡或支持其他防止卡片信息被非法盗取功能</w:t>
            </w:r>
            <w:r>
              <w:rPr>
                <w:snapToGrid/>
                <w:kern w:val="2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通讯接口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USB或串口+USB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是否有闸门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有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磁卡标准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ISO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标准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 1,2,3 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磁道信息读取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IC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卡标准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EMV Level-1,2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标准可读取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IC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卡，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-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通过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PBOC3.0 Level1 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认证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最大遗忘回收数量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支持10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张卡或以上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断电自动退卡功能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支持断电自动退卡，依靠备用电池或者电容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可闪提示灯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提示客户插卡及退卡时需闪灯。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非接触式</w:t>
            </w:r>
            <w:r>
              <w:rPr>
                <w:rFonts w:cs="Arial"/>
                <w:b/>
                <w:bCs/>
                <w:snapToGrid/>
                <w:kern w:val="2"/>
                <w:sz w:val="28"/>
                <w:szCs w:val="28"/>
                <w:highlight w:val="none"/>
              </w:rPr>
              <w:t>IC</w:t>
            </w: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卡读卡器</w:t>
            </w: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预留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2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个内嵌式标准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SAM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卡插槽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default" w:eastAsia="宋体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支持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支持身份证读取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选配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支持非接触式IC卡读取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纸币循环模块</w:t>
            </w: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通讯标准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USB 1.1(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主要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), USB 2.0(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验钞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存取钞口特殊功能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双重钞门及防夹手功能</w:t>
            </w:r>
            <w:r>
              <w:rPr>
                <w:snapToGrid/>
                <w:kern w:val="2"/>
                <w:sz w:val="24"/>
                <w:szCs w:val="24"/>
                <w:highlight w:val="none"/>
              </w:rPr>
              <w:t>，支持钞票暂存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钞箱配置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配置</w:t>
            </w:r>
            <w:r>
              <w:rPr>
                <w:snapToGrid/>
                <w:kern w:val="2"/>
                <w:sz w:val="24"/>
                <w:szCs w:val="24"/>
                <w:highlight w:val="none"/>
              </w:rPr>
              <w:t>4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个循环钞箱及</w:t>
            </w:r>
            <w:r>
              <w:rPr>
                <w:snapToGrid/>
                <w:kern w:val="2"/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个遗忘回收箱、</w:t>
            </w:r>
            <w:r>
              <w:rPr>
                <w:snapToGrid/>
                <w:kern w:val="2"/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个废钞箱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取款</w:t>
            </w: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取款支持面额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人民币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 1, 5, 10, 20, 50, 100 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最大处理张数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单笔取款最多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200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张或以上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整叠出钞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存款</w:t>
            </w: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存款支持面额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人民币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 1, 5, 10, 20, 50, 100 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最大处理数量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单笔存款最多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200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张或以上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整叠入钞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钞箱</w:t>
            </w:r>
          </w:p>
        </w:tc>
        <w:tc>
          <w:tcPr>
            <w:tcW w:w="700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循环钞箱容量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循环模式每个钞箱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 xml:space="preserve">2,750 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张或以上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非循环模式每个钞箱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3,000 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张或以上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纸币处理速度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最低支持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8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张/秒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冠字号记录功能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1、支持提供符合人行要求的冠字号码记录信息以及对应图片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2、支持设置黑名单拒收功能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3、冠字号码图片单张大小不超过4k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4、VDM里提供按时间查询和按冠字号码查询功能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5、支持全张纸币照片记录功能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left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sz w:val="24"/>
                <w:szCs w:val="24"/>
                <w:highlight w:val="none"/>
                <w:lang w:bidi="ar"/>
              </w:rPr>
              <w:t>符合中华人民共和国金融行业《人民币现金机具鉴别能力技术规范》及《不宜流通人民币纸币》（</w:t>
            </w:r>
            <w:r>
              <w:rPr>
                <w:sz w:val="24"/>
                <w:szCs w:val="24"/>
                <w:highlight w:val="none"/>
                <w:lang w:bidi="ar"/>
              </w:rPr>
              <w:t>JR/T0153</w:t>
            </w:r>
            <w:r>
              <w:rPr>
                <w:sz w:val="24"/>
                <w:szCs w:val="24"/>
                <w:highlight w:val="none"/>
                <w:lang w:bidi="ar"/>
              </w:rPr>
              <w:cr/>
            </w:r>
            <w:r>
              <w:rPr>
                <w:sz w:val="24"/>
                <w:szCs w:val="24"/>
                <w:highlight w:val="none"/>
                <w:lang w:bidi="ar"/>
              </w:rPr>
              <w:t>-2022）</w:t>
            </w:r>
            <w:r>
              <w:rPr>
                <w:rFonts w:hint="eastAsia"/>
                <w:sz w:val="24"/>
                <w:szCs w:val="24"/>
                <w:highlight w:val="none"/>
                <w:lang w:bidi="ar"/>
              </w:rPr>
              <w:t>标准</w:t>
            </w:r>
            <w:r>
              <w:rPr>
                <w:sz w:val="24"/>
                <w:szCs w:val="24"/>
                <w:highlight w:val="none"/>
                <w:lang w:bidi="ar"/>
              </w:rPr>
              <w:t>及向上支持。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bidi="ar"/>
              </w:rPr>
              <w:t>使用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 w:bidi="ar"/>
              </w:rPr>
              <w:t>招标行</w:t>
            </w:r>
            <w:r>
              <w:rPr>
                <w:rFonts w:hint="eastAsia"/>
                <w:sz w:val="24"/>
                <w:szCs w:val="24"/>
                <w:highlight w:val="none"/>
                <w:lang w:bidi="ar"/>
              </w:rPr>
              <w:t>纸币样本测试，符合中华人民共和国金融行业《人民币现金机具鉴别能力技术规范》及《不宜流通人民币纸币》（JR/T0153-2022）标准及向上支持。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凭条打印机</w:t>
            </w: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打印方式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热敏整行打印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打印速度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100mm/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秒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打印纸规格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热敏打印纸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最大交易次数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5,000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次</w:t>
            </w: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>/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每卷纸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是否支持按照黑标切纸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支持，可切换是否按照黑标切纸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流水打印机</w:t>
            </w: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打印方式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针式打印或热敏打印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打印纸规格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普通纸卷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锁具</w:t>
            </w: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安全标准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cs="Arial"/>
                <w:snapToGrid/>
                <w:kern w:val="2"/>
                <w:sz w:val="24"/>
                <w:szCs w:val="24"/>
                <w:highlight w:val="none"/>
              </w:rPr>
              <w:t xml:space="preserve">UL291 </w:t>
            </w:r>
            <w:r>
              <w:rPr>
                <w:rFonts w:hint="eastAsia" w:cs="Arial"/>
                <w:snapToGrid/>
                <w:kern w:val="2"/>
                <w:sz w:val="24"/>
                <w:szCs w:val="24"/>
                <w:highlight w:val="none"/>
              </w:rPr>
              <w:t>级标准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09" w:hRule="atLeast"/>
          <w:jc w:val="center"/>
        </w:trPr>
        <w:tc>
          <w:tcPr>
            <w:tcW w:w="575" w:type="pct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rFonts w:hint="eastAsia" w:eastAsia="宋体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eastAsia="宋体"/>
                <w:snapToGrid/>
                <w:kern w:val="2"/>
                <w:sz w:val="24"/>
                <w:szCs w:val="24"/>
                <w:highlight w:val="none"/>
              </w:rPr>
              <w:t>锁具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widowControl/>
              <w:autoSpaceDE/>
              <w:adjustRightInd/>
              <w:snapToGrid/>
              <w:spacing w:line="240" w:lineRule="auto"/>
              <w:ind w:firstLine="0"/>
              <w:rPr>
                <w:rFonts w:hint="eastAsia" w:eastAsia="宋体"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eastAsia="宋体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机械密码锁</w:t>
            </w:r>
            <w:r>
              <w:rPr>
                <w:rFonts w:hint="eastAsia" w:eastAsia="宋体"/>
                <w:snapToGrid/>
                <w:kern w:val="2"/>
                <w:highlight w:val="none"/>
                <w:lang w:bidi="ar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rFonts w:cs="Arial"/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cs="Arial"/>
                <w:b/>
                <w:bCs/>
                <w:snapToGrid/>
                <w:kern w:val="2"/>
                <w:sz w:val="28"/>
                <w:szCs w:val="28"/>
                <w:highlight w:val="none"/>
              </w:rPr>
              <w:t>双目摄像头</w:t>
            </w:r>
          </w:p>
        </w:tc>
        <w:tc>
          <w:tcPr>
            <w:tcW w:w="1478" w:type="pct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人脸双目摄像头</w:t>
            </w:r>
          </w:p>
        </w:tc>
        <w:tc>
          <w:tcPr>
            <w:tcW w:w="2267" w:type="pct"/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人脸，红外双目摄像头，可见光摄像、红外摄像可见光摄像静态有效像素300W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，</w:t>
            </w:r>
          </w:p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符合招标人现有的人脸识别要求,兼容招标人人脸库型号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可参考型号“</w:t>
            </w:r>
            <w:r>
              <w:rPr>
                <w:rFonts w:ascii="宋体" w:hAnsi="宋体" w:eastAsia="宋体" w:cs="宋体"/>
                <w:sz w:val="24"/>
                <w:szCs w:val="24"/>
              </w:rPr>
              <w:t>天诚盛业TCF261A、依图UCB300V15、云从300WHDR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或其他通过适配的品牌型号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both"/>
              <w:textAlignment w:val="auto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w w:val="80"/>
                <w:kern w:val="2"/>
                <w:sz w:val="28"/>
                <w:szCs w:val="28"/>
                <w:highlight w:val="none"/>
              </w:rPr>
              <w:t>自助吞卡取回模块</w:t>
            </w:r>
          </w:p>
        </w:tc>
        <w:tc>
          <w:tcPr>
            <w:tcW w:w="1478" w:type="pct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机具出现吞卡，支持客户使用</w:t>
            </w:r>
            <w:r>
              <w:rPr>
                <w:rFonts w:cs="Times New Roman"/>
                <w:snapToGrid/>
                <w:kern w:val="2"/>
                <w:sz w:val="24"/>
                <w:szCs w:val="24"/>
                <w:highlight w:val="none"/>
              </w:rPr>
              <w:t>“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自助退卡</w:t>
            </w:r>
            <w:r>
              <w:rPr>
                <w:rFonts w:cs="Times New Roman"/>
                <w:snapToGrid/>
                <w:kern w:val="2"/>
                <w:sz w:val="24"/>
                <w:szCs w:val="24"/>
                <w:highlight w:val="none"/>
              </w:rPr>
              <w:t>”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功能并验证客户身份信息（如卡号、交易密码等），将卡退出。</w:t>
            </w:r>
          </w:p>
        </w:tc>
        <w:tc>
          <w:tcPr>
            <w:tcW w:w="2267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选配功能，容量大于等于5张</w:t>
            </w:r>
          </w:p>
        </w:tc>
        <w:tc>
          <w:tcPr>
            <w:tcW w:w="679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针孔摄像头专属安装位置</w:t>
            </w:r>
          </w:p>
        </w:tc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left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要求分别有可安装正面一个针孔摄像头和一个读卡器、屏幕、出钞口、密码键盘针孔摄像头</w:t>
            </w:r>
            <w:r>
              <w:rPr>
                <w:snapToGrid/>
                <w:kern w:val="2"/>
                <w:sz w:val="24"/>
                <w:szCs w:val="24"/>
                <w:highlight w:val="none"/>
              </w:rPr>
              <w:t>，环境摄像头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的专属安装位置。</w:t>
            </w:r>
          </w:p>
        </w:tc>
        <w:tc>
          <w:tcPr>
            <w:tcW w:w="2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left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按我行要求预留孔位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b/>
                <w:bCs/>
                <w:snapToGrid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napToGrid/>
                <w:kern w:val="2"/>
                <w:sz w:val="28"/>
                <w:szCs w:val="28"/>
                <w:highlight w:val="none"/>
              </w:rPr>
              <w:t>密码防窥罩</w:t>
            </w:r>
          </w:p>
        </w:tc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开窗式且内配置灯</w:t>
            </w:r>
          </w:p>
        </w:tc>
        <w:tc>
          <w:tcPr>
            <w:tcW w:w="2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rPr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开窗的角度需避开拍摄密码键盘针孔摄像头，且防窥罩不留连接缝隙，</w:t>
            </w:r>
            <w:r>
              <w:rPr>
                <w:rFonts w:hint="eastAsia"/>
                <w:sz w:val="24"/>
                <w:szCs w:val="24"/>
                <w:highlight w:val="none"/>
              </w:rPr>
              <w:t>防止非交易人员从旁边窥视用户输入个人密码</w:t>
            </w:r>
            <w:r>
              <w:rPr>
                <w:rFonts w:hint="eastAsia"/>
                <w:snapToGrid/>
                <w:kern w:val="2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/>
              <w:adjustRightInd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snapToGrid/>
                <w:kern w:val="2"/>
                <w:sz w:val="21"/>
                <w:szCs w:val="21"/>
                <w:highlight w:val="none"/>
              </w:rPr>
              <w:t>是</w:t>
            </w:r>
          </w:p>
        </w:tc>
      </w:tr>
    </w:tbl>
    <w:p>
      <w:pPr>
        <w:ind w:firstLine="0"/>
        <w:rPr>
          <w:rFonts w:hint="eastAsia" w:ascii="微软雅黑" w:hAnsi="微软雅黑" w:eastAsia="微软雅黑" w:cs="微软雅黑"/>
        </w:rPr>
      </w:pPr>
    </w:p>
    <w:sectPr>
      <w:pgSz w:w="11906" w:h="16838"/>
      <w:pgMar w:top="1304" w:right="1134" w:bottom="1304" w:left="1134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DYwZTJiM2IwNGE5MTVhYmE3MGE2YzFiN2ZjODEifQ=="/>
    <w:docVar w:name="DocumentID" w:val="8202265"/>
    <w:docVar w:name="DocumentName" w:val="附件：存取款一体机配置需求表.doc"/>
    <w:docVar w:name="ExtParam1" w:val="01429"/>
    <w:docVar w:name="ExtParam2" w:val="总行信息科技部运行管理中心"/>
    <w:docVar w:name="KGWebUrl" w:val="https://imis.sdebank.com:443/OfficeServer"/>
  </w:docVars>
  <w:rsids>
    <w:rsidRoot w:val="00CF1265"/>
    <w:rsid w:val="00087A14"/>
    <w:rsid w:val="001060D7"/>
    <w:rsid w:val="001A5CB8"/>
    <w:rsid w:val="001F0F8F"/>
    <w:rsid w:val="00212C82"/>
    <w:rsid w:val="00220F5F"/>
    <w:rsid w:val="00242D3F"/>
    <w:rsid w:val="002770F4"/>
    <w:rsid w:val="002E6F43"/>
    <w:rsid w:val="00351BD0"/>
    <w:rsid w:val="00354286"/>
    <w:rsid w:val="003767F9"/>
    <w:rsid w:val="003E7C12"/>
    <w:rsid w:val="00406C16"/>
    <w:rsid w:val="004377F8"/>
    <w:rsid w:val="0045585A"/>
    <w:rsid w:val="00480FA0"/>
    <w:rsid w:val="004825C8"/>
    <w:rsid w:val="004918BD"/>
    <w:rsid w:val="00556355"/>
    <w:rsid w:val="005F1B84"/>
    <w:rsid w:val="0065348A"/>
    <w:rsid w:val="0066577F"/>
    <w:rsid w:val="006E1D11"/>
    <w:rsid w:val="006F3903"/>
    <w:rsid w:val="007211AC"/>
    <w:rsid w:val="007C2104"/>
    <w:rsid w:val="00816572"/>
    <w:rsid w:val="00832ADF"/>
    <w:rsid w:val="00840676"/>
    <w:rsid w:val="008954A8"/>
    <w:rsid w:val="00910250"/>
    <w:rsid w:val="0096189F"/>
    <w:rsid w:val="009B2FE1"/>
    <w:rsid w:val="009C0C5D"/>
    <w:rsid w:val="00A913AB"/>
    <w:rsid w:val="00AC7A01"/>
    <w:rsid w:val="00AD7B84"/>
    <w:rsid w:val="00AF2962"/>
    <w:rsid w:val="00B6259B"/>
    <w:rsid w:val="00B9242A"/>
    <w:rsid w:val="00BB7CE7"/>
    <w:rsid w:val="00C8157F"/>
    <w:rsid w:val="00C85BE4"/>
    <w:rsid w:val="00CD6CC2"/>
    <w:rsid w:val="00CF1265"/>
    <w:rsid w:val="00D235E2"/>
    <w:rsid w:val="00D554C0"/>
    <w:rsid w:val="00D72A89"/>
    <w:rsid w:val="00D76E16"/>
    <w:rsid w:val="00E819D7"/>
    <w:rsid w:val="00EC7435"/>
    <w:rsid w:val="00EF4CDB"/>
    <w:rsid w:val="00EF7394"/>
    <w:rsid w:val="00F43893"/>
    <w:rsid w:val="00FD4135"/>
    <w:rsid w:val="00FF3FFA"/>
    <w:rsid w:val="01A7640F"/>
    <w:rsid w:val="05344D13"/>
    <w:rsid w:val="06492EC2"/>
    <w:rsid w:val="0BF60D57"/>
    <w:rsid w:val="1CEB1B2A"/>
    <w:rsid w:val="25FD16D0"/>
    <w:rsid w:val="26C7F7C9"/>
    <w:rsid w:val="291E15A5"/>
    <w:rsid w:val="2D526C8E"/>
    <w:rsid w:val="30E42F07"/>
    <w:rsid w:val="346A4B9A"/>
    <w:rsid w:val="352C2A4A"/>
    <w:rsid w:val="382703C5"/>
    <w:rsid w:val="3FFF4362"/>
    <w:rsid w:val="441E6A41"/>
    <w:rsid w:val="4A076AAF"/>
    <w:rsid w:val="4DF1CF3A"/>
    <w:rsid w:val="507F00C1"/>
    <w:rsid w:val="52AB04CE"/>
    <w:rsid w:val="531B60E2"/>
    <w:rsid w:val="57F62DF7"/>
    <w:rsid w:val="58B23F52"/>
    <w:rsid w:val="5BAF5F6E"/>
    <w:rsid w:val="5BD7472E"/>
    <w:rsid w:val="5C105DCA"/>
    <w:rsid w:val="5EE255BC"/>
    <w:rsid w:val="5FF5E0F7"/>
    <w:rsid w:val="67934F08"/>
    <w:rsid w:val="6E7F3F70"/>
    <w:rsid w:val="6FD50188"/>
    <w:rsid w:val="6FEE8E51"/>
    <w:rsid w:val="757808F3"/>
    <w:rsid w:val="76F72934"/>
    <w:rsid w:val="78D3458A"/>
    <w:rsid w:val="7AAF2356"/>
    <w:rsid w:val="7AFFDEC6"/>
    <w:rsid w:val="7B7C03AE"/>
    <w:rsid w:val="7C3F63D6"/>
    <w:rsid w:val="7DAF3433"/>
    <w:rsid w:val="7FBB7D42"/>
    <w:rsid w:val="BFBFB40A"/>
    <w:rsid w:val="EEF7E6E5"/>
    <w:rsid w:val="FB7FE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djustRightInd w:val="0"/>
      <w:snapToGrid w:val="0"/>
      <w:spacing w:line="360" w:lineRule="auto"/>
      <w:ind w:firstLine="482"/>
      <w:jc w:val="both"/>
    </w:pPr>
    <w:rPr>
      <w:rFonts w:ascii="宋体" w:hAnsi="宋体" w:cs="宋体"/>
      <w:snapToGrid w:val="0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批注文字 Char"/>
    <w:link w:val="2"/>
    <w:qFormat/>
    <w:uiPriority w:val="0"/>
    <w:rPr>
      <w:rFonts w:ascii="宋体" w:hAnsi="宋体" w:eastAsia="宋体" w:cs="宋体"/>
      <w:snapToGrid w:val="0"/>
      <w:sz w:val="24"/>
      <w:szCs w:val="24"/>
    </w:rPr>
  </w:style>
  <w:style w:type="character" w:customStyle="1" w:styleId="11">
    <w:name w:val="批注框文本 Char"/>
    <w:link w:val="3"/>
    <w:qFormat/>
    <w:uiPriority w:val="0"/>
    <w:rPr>
      <w:rFonts w:ascii="宋体" w:hAnsi="宋体" w:eastAsia="宋体" w:cs="宋体"/>
      <w:snapToGrid w:val="0"/>
      <w:sz w:val="18"/>
      <w:szCs w:val="18"/>
    </w:rPr>
  </w:style>
  <w:style w:type="character" w:customStyle="1" w:styleId="12">
    <w:name w:val="页脚 Char"/>
    <w:link w:val="4"/>
    <w:qFormat/>
    <w:uiPriority w:val="0"/>
    <w:rPr>
      <w:rFonts w:ascii="宋体" w:hAnsi="宋体" w:eastAsia="宋体" w:cs="宋体"/>
      <w:snapToGrid w:val="0"/>
      <w:sz w:val="18"/>
      <w:szCs w:val="18"/>
    </w:rPr>
  </w:style>
  <w:style w:type="character" w:customStyle="1" w:styleId="13">
    <w:name w:val="页眉 Char"/>
    <w:link w:val="5"/>
    <w:uiPriority w:val="0"/>
    <w:rPr>
      <w:rFonts w:ascii="宋体" w:hAnsi="宋体" w:eastAsia="宋体" w:cs="宋体"/>
      <w:snapToGrid w:val="0"/>
      <w:sz w:val="18"/>
      <w:szCs w:val="18"/>
    </w:rPr>
  </w:style>
  <w:style w:type="character" w:customStyle="1" w:styleId="14">
    <w:name w:val="批注主题 Char"/>
    <w:link w:val="6"/>
    <w:qFormat/>
    <w:uiPriority w:val="0"/>
    <w:rPr>
      <w:rFonts w:ascii="宋体" w:hAnsi="宋体" w:eastAsia="宋体" w:cs="宋体"/>
      <w:b/>
      <w:bCs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344</Words>
  <Characters>1963</Characters>
  <Lines>16</Lines>
  <Paragraphs>4</Paragraphs>
  <TotalTime>5</TotalTime>
  <ScaleCrop>false</ScaleCrop>
  <LinksUpToDate>false</LinksUpToDate>
  <CharactersWithSpaces>2303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2023-12-13T02:44:00Z</dcterms:created>
  <dc:creator>LOST</dc:creator>
  <cp:lastModifiedBy>梁钧武</cp:lastModifiedBy>
  <dcterms:modified xsi:type="dcterms:W3CDTF">2024-03-27T01:45:00Z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631DDD406205414F8DEC1351A4126450</vt:lpwstr>
  </property>
</Properties>
</file>