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非信创CRS</w:t>
      </w:r>
      <w:r>
        <w:rPr>
          <w:rFonts w:hint="eastAsia"/>
          <w:b/>
          <w:bCs/>
          <w:sz w:val="40"/>
          <w:szCs w:val="40"/>
        </w:rPr>
        <w:t>存取款一体机配置需求表</w:t>
      </w:r>
      <w:r>
        <w:rPr>
          <w:rFonts w:hint="eastAsia"/>
          <w:b/>
          <w:bCs/>
          <w:sz w:val="40"/>
          <w:szCs w:val="40"/>
          <w:lang w:eastAsia="zh-CN"/>
        </w:rPr>
        <w:t>（</w:t>
      </w:r>
      <w:r>
        <w:rPr>
          <w:rFonts w:hint="eastAsia"/>
          <w:b/>
          <w:bCs/>
          <w:sz w:val="40"/>
          <w:szCs w:val="40"/>
          <w:lang w:val="en-US" w:eastAsia="zh-CN"/>
        </w:rPr>
        <w:t>版本1</w:t>
      </w:r>
      <w:r>
        <w:rPr>
          <w:rFonts w:hint="eastAsia"/>
          <w:b/>
          <w:bCs/>
          <w:sz w:val="40"/>
          <w:szCs w:val="40"/>
          <w:lang w:eastAsia="zh-CN"/>
        </w:rPr>
        <w:t>）</w:t>
      </w:r>
    </w:p>
    <w:tbl>
      <w:tblPr>
        <w:tblStyle w:val="7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58"/>
        <w:gridCol w:w="1405"/>
        <w:gridCol w:w="454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2053" w:type="pct"/>
            <w:gridSpan w:val="3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679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napToGrid/>
                <w:kern w:val="2"/>
                <w:sz w:val="28"/>
                <w:szCs w:val="28"/>
                <w:highlight w:val="none"/>
              </w:rPr>
              <w:t>是否必须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主控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部分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CPU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highlight w:val="none"/>
                <w:lang w:val="es-CL"/>
              </w:rPr>
              <w:t xml:space="preserve">Intel </w:t>
            </w:r>
            <w:r>
              <w:rPr>
                <w:rFonts w:hint="eastAsia"/>
                <w:highlight w:val="none"/>
                <w:lang w:val="en-US" w:eastAsia="zh-CN"/>
              </w:rPr>
              <w:t>I</w:t>
            </w:r>
            <w:r>
              <w:rPr>
                <w:highlight w:val="none"/>
                <w:lang w:val="es-CL"/>
              </w:rPr>
              <w:t>5</w:t>
            </w:r>
            <w:r>
              <w:rPr>
                <w:rFonts w:hint="eastAsia"/>
                <w:highlight w:val="none"/>
                <w:lang w:val="es-CL"/>
              </w:rPr>
              <w:t xml:space="preserve"> </w:t>
            </w:r>
            <w:r>
              <w:rPr>
                <w:rFonts w:hint="eastAsia"/>
                <w:highlight w:val="none"/>
              </w:rPr>
              <w:t>3.1GHz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内存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DDR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内存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GB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存储硬件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硬盘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TB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HDD或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操作系统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Win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dows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7系统或以上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串口数量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个</w:t>
            </w:r>
            <w:bookmarkStart w:id="0" w:name="_GoBack"/>
            <w:bookmarkEnd w:id="0"/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USB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接口数量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8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个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网卡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1000Mbps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主板集成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电源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200W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主控部电源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客户操作部分</w:t>
            </w: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客户显示屏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15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TFT LCD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分辨率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1024 X 768 Resolution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亮度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300 cd/m²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输入部分</w:t>
            </w:r>
          </w:p>
        </w:tc>
        <w:tc>
          <w:tcPr>
            <w:tcW w:w="700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触摸屏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15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红外触摸屏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USB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通讯接口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功能键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4X2 (NDC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样式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防窥屏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15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, 30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%，防暴、防窥视，防窥视角度小于45度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向导灯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闪烁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指示灯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凭条口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密码键盘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读卡器口闪烁指示灯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照明灯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存取钞口闸门内照明灯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柜员操作部分</w:t>
            </w: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柜员操作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屏幕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寸以上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TFT LCD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分辨率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1024 X 768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亮度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200 cd/m²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当选择大堂机时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交易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维护模式切换开关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密码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键盘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EPP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金属 硬加密键盘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16键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密码输入支持国家密码算法的芯片硬加密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支持国密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符合Visa和MasterCard的PCI PTS 5.1标准、中国银联《银行卡受理终端产品安全认证UPTS V2.0》标准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符合PCI认证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防水，防尘，防爆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是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3DES加密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符合3DES标准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防窥罩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防撬键盘防窥罩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盲文提示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具有盲文提示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读卡器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读卡方式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(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吸入式、接触式、触摸式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吸入式，支持抖动进卡或支持其他防止卡片信息被非法盗取功能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通讯接口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USB或串口+USB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是否有闸门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磁卡标准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ISO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标准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1,2,3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磁道信息读取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IC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卡标准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EMV Level-1,2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标准可读取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IC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卡，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通过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PBOC3.0 Level1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认证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最大遗忘回收数量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支持10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张卡或以上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断电自动退卡功能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支持断电自动退卡，依靠备用电池或者电容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可闪提示灯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提示客户插卡及退卡时需闪灯。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非接触式</w:t>
            </w:r>
            <w:r>
              <w:rPr>
                <w:rFonts w:cs="Arial"/>
                <w:b/>
                <w:bCs/>
                <w:snapToGrid/>
                <w:kern w:val="2"/>
                <w:sz w:val="28"/>
                <w:szCs w:val="28"/>
                <w:highlight w:val="none"/>
              </w:rPr>
              <w:t>IC</w:t>
            </w: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卡读卡器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预留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个内嵌式标准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SAM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卡插槽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支持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支持身份证读取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支持非接触式IC卡读取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纸币循环模块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通讯标准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USB 1.1(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主要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), USB 2.0(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验钞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存取钞口特殊功能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双重钞门及防夹手功能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，支持钞票暂存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钞箱配置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配置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4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个循环钞箱及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个遗忘回收箱、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个废钞箱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取款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取款支持面额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人民币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1, 5, 10, 20, 50, 100 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最大处理张数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单笔取款最多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200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整叠出钞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存款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存款支持面额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人民币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1, 5, 10, 20, 50, 100 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最大处理数量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单笔存款最多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200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整叠入钞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钞箱</w:t>
            </w:r>
          </w:p>
        </w:tc>
        <w:tc>
          <w:tcPr>
            <w:tcW w:w="700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循环钞箱容量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循环模式每个钞箱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 xml:space="preserve">2,750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非循环模式每个钞箱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3,000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纸币处理速度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最低支持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8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张/秒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冠字号记录功能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1、支持提供符合人行要求的冠字号码记录信息以及对应图片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2、支持设置黑名单拒收功能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3、冠字号码图片单张大小不超过4k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4、VDM里提供按时间查询和按冠字号码查询功能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5、支持全张纸币照片记录功能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left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符合中华人民共和国金融行业《人民币现金机具鉴别能力技术规范》及《不宜流通人民币纸币》（</w:t>
            </w:r>
            <w:r>
              <w:rPr>
                <w:sz w:val="24"/>
                <w:szCs w:val="24"/>
                <w:highlight w:val="none"/>
                <w:lang w:bidi="ar"/>
              </w:rPr>
              <w:t>JR/T0153</w:t>
            </w:r>
            <w:r>
              <w:rPr>
                <w:sz w:val="24"/>
                <w:szCs w:val="24"/>
                <w:highlight w:val="none"/>
                <w:lang w:bidi="ar"/>
              </w:rPr>
              <w:cr/>
            </w:r>
            <w:r>
              <w:rPr>
                <w:sz w:val="24"/>
                <w:szCs w:val="24"/>
                <w:highlight w:val="none"/>
                <w:lang w:bidi="ar"/>
              </w:rPr>
              <w:t>-2022）</w:t>
            </w: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标准</w:t>
            </w:r>
            <w:r>
              <w:rPr>
                <w:sz w:val="24"/>
                <w:szCs w:val="24"/>
                <w:highlight w:val="none"/>
                <w:lang w:bidi="ar"/>
              </w:rPr>
              <w:t>及向上支持。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使用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 w:bidi="ar"/>
              </w:rPr>
              <w:t>招标行</w:t>
            </w: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纸币样本测试，符合中华人民共和国金融行业《人民币现金机具鉴别能力技术规范》及《不宜流通人民币纸币》（JR/T0153-2022）标准及向上支持。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凭条打印机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热敏整行打印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打印速度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100mm/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秒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打印纸规格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热敏打印纸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最大交易次数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5,000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次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每卷纸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是否支持按照黑标切纸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支持，可切换是否按照黑标切纸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流水打印机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针式打印或热敏打印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打印纸规格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普通纸卷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锁具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安全标准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UL291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级标准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</w:rPr>
              <w:t>锁具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widowControl/>
              <w:autoSpaceDE/>
              <w:adjustRightInd/>
              <w:snapToGrid/>
              <w:spacing w:line="240" w:lineRule="auto"/>
              <w:ind w:firstLine="0"/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机械密码锁</w:t>
            </w:r>
            <w:r>
              <w:rPr>
                <w:rFonts w:hint="eastAsia" w:eastAsia="宋体"/>
                <w:snapToGrid/>
                <w:kern w:val="2"/>
                <w:highlight w:val="none"/>
                <w:lang w:bidi="ar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cs="Arial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napToGrid/>
                <w:kern w:val="2"/>
                <w:sz w:val="28"/>
                <w:szCs w:val="28"/>
                <w:highlight w:val="none"/>
              </w:rPr>
              <w:t>双目摄像头</w:t>
            </w:r>
          </w:p>
        </w:tc>
        <w:tc>
          <w:tcPr>
            <w:tcW w:w="1477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人脸双目摄像头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人脸，红外双目摄像头，可见光摄像、红外摄像可见光摄像静态有效像素300W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，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符合招标人现有的人脸识别要求,兼容招标人人脸库型号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可参考型号“</w:t>
            </w:r>
            <w:r>
              <w:rPr>
                <w:rFonts w:ascii="宋体" w:hAnsi="宋体" w:eastAsia="宋体" w:cs="宋体"/>
                <w:sz w:val="24"/>
                <w:szCs w:val="24"/>
              </w:rPr>
              <w:t>天诚盛业TCF261A、依图UCB300V15、云从300WHDR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或其他通过适配的品牌型号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both"/>
              <w:textAlignment w:val="auto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w w:val="80"/>
                <w:kern w:val="2"/>
                <w:sz w:val="28"/>
                <w:szCs w:val="28"/>
                <w:highlight w:val="none"/>
              </w:rPr>
              <w:t>自助吞卡取回模块</w:t>
            </w:r>
          </w:p>
        </w:tc>
        <w:tc>
          <w:tcPr>
            <w:tcW w:w="1477" w:type="pct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机具出现吞卡，支持客户使用</w:t>
            </w:r>
            <w:r>
              <w:rPr>
                <w:rFonts w:cs="Times New Roman"/>
                <w:snapToGrid/>
                <w:kern w:val="2"/>
                <w:sz w:val="24"/>
                <w:szCs w:val="24"/>
                <w:highlight w:val="none"/>
              </w:rPr>
              <w:t>“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自助退卡</w:t>
            </w:r>
            <w:r>
              <w:rPr>
                <w:rFonts w:cs="Times New Roman"/>
                <w:snapToGrid/>
                <w:kern w:val="2"/>
                <w:sz w:val="24"/>
                <w:szCs w:val="24"/>
                <w:highlight w:val="none"/>
              </w:rPr>
              <w:t>”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功能并验证客户身份信息（如卡号、交易密码等），将卡退出。</w:t>
            </w:r>
          </w:p>
        </w:tc>
        <w:tc>
          <w:tcPr>
            <w:tcW w:w="2267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选配功能，容量大于等于5张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针孔摄像头专属安装位置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要求分别有可安装正面一个针孔摄像头和一个读卡器、屏幕、出钞口、密码键盘针孔摄像头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，环境摄像头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的专属安装位置。</w:t>
            </w:r>
          </w:p>
        </w:tc>
        <w:tc>
          <w:tcPr>
            <w:tcW w:w="2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按我行要求预留孔位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密码防窥罩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开窗式且内配置灯</w:t>
            </w:r>
          </w:p>
        </w:tc>
        <w:tc>
          <w:tcPr>
            <w:tcW w:w="2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开窗的角度需避开拍摄密码键盘针孔摄像头，且防窥罩不留连接缝隙，</w:t>
            </w:r>
            <w:r>
              <w:rPr>
                <w:rFonts w:hint="eastAsia"/>
                <w:sz w:val="24"/>
                <w:szCs w:val="24"/>
                <w:highlight w:val="none"/>
              </w:rPr>
              <w:t>防止非交易人员从旁边窥视用户输入个人密码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</w:tbl>
    <w:p>
      <w:pPr>
        <w:ind w:firstLine="0"/>
        <w:rPr>
          <w:rFonts w:hint="eastAsia" w:ascii="微软雅黑" w:hAnsi="微软雅黑" w:eastAsia="微软雅黑" w:cs="微软雅黑"/>
        </w:rPr>
      </w:pPr>
    </w:p>
    <w:sectPr>
      <w:pgSz w:w="11906" w:h="16838"/>
      <w:pgMar w:top="1304" w:right="1134" w:bottom="1304" w:left="1134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DYwZTJiM2IwNGE5MTVhYmE3MGE2YzFiN2ZjODEifQ=="/>
    <w:docVar w:name="DocumentID" w:val="8202265"/>
    <w:docVar w:name="DocumentName" w:val="附件：存取款一体机配置需求表.doc"/>
    <w:docVar w:name="ExtParam1" w:val="01429"/>
    <w:docVar w:name="ExtParam2" w:val="总行信息科技部运行管理中心"/>
    <w:docVar w:name="KGWebUrl" w:val="https://imis.sdebank.com:443/OfficeServer"/>
  </w:docVars>
  <w:rsids>
    <w:rsidRoot w:val="00CF1265"/>
    <w:rsid w:val="00087A14"/>
    <w:rsid w:val="001060D7"/>
    <w:rsid w:val="001A5CB8"/>
    <w:rsid w:val="001F0F8F"/>
    <w:rsid w:val="00212C82"/>
    <w:rsid w:val="00220F5F"/>
    <w:rsid w:val="00242D3F"/>
    <w:rsid w:val="002770F4"/>
    <w:rsid w:val="002E6F43"/>
    <w:rsid w:val="00351BD0"/>
    <w:rsid w:val="00354286"/>
    <w:rsid w:val="003767F9"/>
    <w:rsid w:val="003E7C12"/>
    <w:rsid w:val="00406C16"/>
    <w:rsid w:val="004377F8"/>
    <w:rsid w:val="0045585A"/>
    <w:rsid w:val="00480FA0"/>
    <w:rsid w:val="004825C8"/>
    <w:rsid w:val="004918BD"/>
    <w:rsid w:val="00556355"/>
    <w:rsid w:val="005F1B84"/>
    <w:rsid w:val="0065348A"/>
    <w:rsid w:val="0066577F"/>
    <w:rsid w:val="006E1D11"/>
    <w:rsid w:val="006F3903"/>
    <w:rsid w:val="007211AC"/>
    <w:rsid w:val="007C2104"/>
    <w:rsid w:val="00816572"/>
    <w:rsid w:val="00832ADF"/>
    <w:rsid w:val="00840676"/>
    <w:rsid w:val="008954A8"/>
    <w:rsid w:val="00910250"/>
    <w:rsid w:val="0096189F"/>
    <w:rsid w:val="009B2FE1"/>
    <w:rsid w:val="009C0C5D"/>
    <w:rsid w:val="00A913AB"/>
    <w:rsid w:val="00AC7A01"/>
    <w:rsid w:val="00AD7B84"/>
    <w:rsid w:val="00AF2962"/>
    <w:rsid w:val="00B6259B"/>
    <w:rsid w:val="00B9242A"/>
    <w:rsid w:val="00BB7CE7"/>
    <w:rsid w:val="00C8157F"/>
    <w:rsid w:val="00C85BE4"/>
    <w:rsid w:val="00CD6CC2"/>
    <w:rsid w:val="00CF1265"/>
    <w:rsid w:val="00D235E2"/>
    <w:rsid w:val="00D554C0"/>
    <w:rsid w:val="00D72A89"/>
    <w:rsid w:val="00D76E16"/>
    <w:rsid w:val="00E819D7"/>
    <w:rsid w:val="00EC7435"/>
    <w:rsid w:val="00EF4CDB"/>
    <w:rsid w:val="00EF7394"/>
    <w:rsid w:val="00F43893"/>
    <w:rsid w:val="00FD4135"/>
    <w:rsid w:val="00FF3FFA"/>
    <w:rsid w:val="05344D13"/>
    <w:rsid w:val="06492EC2"/>
    <w:rsid w:val="0BF60D57"/>
    <w:rsid w:val="0E763FB7"/>
    <w:rsid w:val="13024DB2"/>
    <w:rsid w:val="1AD319B4"/>
    <w:rsid w:val="1CEB1B2A"/>
    <w:rsid w:val="25FD16D0"/>
    <w:rsid w:val="26C7F7C9"/>
    <w:rsid w:val="291E15A5"/>
    <w:rsid w:val="2D526C8E"/>
    <w:rsid w:val="30E42F07"/>
    <w:rsid w:val="346A4B9A"/>
    <w:rsid w:val="352C2A4A"/>
    <w:rsid w:val="3ED823D6"/>
    <w:rsid w:val="3FFF4362"/>
    <w:rsid w:val="441E6A41"/>
    <w:rsid w:val="4A076AAF"/>
    <w:rsid w:val="4D5A60EB"/>
    <w:rsid w:val="4DF1CF3A"/>
    <w:rsid w:val="507F00C1"/>
    <w:rsid w:val="52AB04CE"/>
    <w:rsid w:val="531B60E2"/>
    <w:rsid w:val="57F62DF7"/>
    <w:rsid w:val="58B23F52"/>
    <w:rsid w:val="5BD7472E"/>
    <w:rsid w:val="5C105DCA"/>
    <w:rsid w:val="5FF5E0F7"/>
    <w:rsid w:val="67934F08"/>
    <w:rsid w:val="6A9D1DFA"/>
    <w:rsid w:val="6E7F3F70"/>
    <w:rsid w:val="6FD50188"/>
    <w:rsid w:val="6FEE8E51"/>
    <w:rsid w:val="757808F3"/>
    <w:rsid w:val="76F72934"/>
    <w:rsid w:val="7AAF2356"/>
    <w:rsid w:val="7AFFDEC6"/>
    <w:rsid w:val="7B7C03AE"/>
    <w:rsid w:val="7DAF3433"/>
    <w:rsid w:val="7FBB7D42"/>
    <w:rsid w:val="BFBFB40A"/>
    <w:rsid w:val="EEF7E6E5"/>
    <w:rsid w:val="FB7FE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djustRightInd w:val="0"/>
      <w:snapToGrid w:val="0"/>
      <w:spacing w:line="360" w:lineRule="auto"/>
      <w:ind w:firstLine="482"/>
      <w:jc w:val="both"/>
    </w:pPr>
    <w:rPr>
      <w:rFonts w:ascii="宋体" w:hAnsi="宋体" w:cs="宋体"/>
      <w:snapToGrid w:val="0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Char"/>
    <w:link w:val="2"/>
    <w:qFormat/>
    <w:uiPriority w:val="0"/>
    <w:rPr>
      <w:rFonts w:ascii="宋体" w:hAnsi="宋体" w:eastAsia="宋体" w:cs="宋体"/>
      <w:snapToGrid w:val="0"/>
      <w:sz w:val="24"/>
      <w:szCs w:val="24"/>
    </w:rPr>
  </w:style>
  <w:style w:type="character" w:customStyle="1" w:styleId="11">
    <w:name w:val="批注框文本 Char"/>
    <w:link w:val="3"/>
    <w:qFormat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12">
    <w:name w:val="页脚 Char"/>
    <w:link w:val="4"/>
    <w:qFormat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13">
    <w:name w:val="页眉 Char"/>
    <w:link w:val="5"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14">
    <w:name w:val="批注主题 Char"/>
    <w:link w:val="6"/>
    <w:qFormat/>
    <w:uiPriority w:val="0"/>
    <w:rPr>
      <w:rFonts w:ascii="宋体" w:hAnsi="宋体" w:eastAsia="宋体" w:cs="宋体"/>
      <w:b/>
      <w:bCs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344</Words>
  <Characters>1963</Characters>
  <Lines>16</Lines>
  <Paragraphs>4</Paragraphs>
  <TotalTime>1</TotalTime>
  <ScaleCrop>false</ScaleCrop>
  <LinksUpToDate>false</LinksUpToDate>
  <CharactersWithSpaces>2303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2023-12-13T02:44:00Z</dcterms:created>
  <dc:creator>LOST</dc:creator>
  <cp:lastModifiedBy>梁钧武</cp:lastModifiedBy>
  <dcterms:modified xsi:type="dcterms:W3CDTF">2024-03-27T01:39:30Z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EE0E5A6BDE7F45DD997C780A50832190</vt:lpwstr>
  </property>
</Properties>
</file>