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6A06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广东揭东农村商业银行股份有限公司</w:t>
      </w:r>
    </w:p>
    <w:p w14:paraId="69E6D77B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年消费者投诉处理情况报告</w:t>
      </w:r>
    </w:p>
    <w:p w14:paraId="3D5BB841">
      <w:pPr>
        <w:spacing w:line="570" w:lineRule="exact"/>
        <w:rPr>
          <w:rFonts w:ascii="方正小标宋简体" w:eastAsia="方正小标宋简体"/>
          <w:sz w:val="44"/>
          <w:szCs w:val="44"/>
        </w:rPr>
      </w:pPr>
    </w:p>
    <w:p w14:paraId="2BEAB6D6">
      <w:pPr>
        <w:pStyle w:val="5"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为切实履行金融消费者权益保护主体责任，持续提升金融服务质量，有效维护金融消费者合法权益，提高客户满意度，现将我行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2025年消费者投诉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处理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情况向社会公众披露如下：</w:t>
      </w:r>
    </w:p>
    <w:p w14:paraId="786A5541">
      <w:pPr>
        <w:pStyle w:val="5"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Style w:val="8"/>
          <w:rFonts w:ascii="黑体" w:hAnsi="黑体" w:eastAsia="黑体"/>
          <w:b w:val="0"/>
          <w:spacing w:val="8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</w:rPr>
        <w:t>一、</w:t>
      </w:r>
      <w:r>
        <w:rPr>
          <w:rStyle w:val="8"/>
          <w:rFonts w:hint="eastAsia" w:ascii="黑体" w:hAnsi="黑体" w:eastAsia="黑体"/>
          <w:b w:val="0"/>
          <w:spacing w:val="8"/>
          <w:sz w:val="32"/>
          <w:szCs w:val="32"/>
        </w:rPr>
        <w:t>基本情况</w:t>
      </w:r>
    </w:p>
    <w:p w14:paraId="104277D7">
      <w:pPr>
        <w:pStyle w:val="5"/>
        <w:shd w:val="clear" w:color="auto" w:fill="FFFFFF"/>
        <w:spacing w:before="0" w:beforeAutospacing="0" w:after="0" w:afterAutospacing="0" w:line="570" w:lineRule="exact"/>
        <w:ind w:firstLine="672" w:firstLineChars="200"/>
        <w:jc w:val="both"/>
        <w:rPr>
          <w:rStyle w:val="8"/>
          <w:rFonts w:ascii="仿宋_GB2312" w:hAnsi="黑体" w:eastAsia="仿宋_GB2312"/>
          <w:b w:val="0"/>
          <w:spacing w:val="8"/>
          <w:sz w:val="32"/>
          <w:szCs w:val="32"/>
        </w:rPr>
      </w:pPr>
      <w:r>
        <w:rPr>
          <w:rStyle w:val="8"/>
          <w:rFonts w:ascii="仿宋_GB2312" w:hAnsi="黑体" w:eastAsia="仿宋_GB2312"/>
          <w:b w:val="0"/>
          <w:spacing w:val="8"/>
          <w:sz w:val="32"/>
          <w:szCs w:val="32"/>
        </w:rPr>
        <w:t>2025年，</w:t>
      </w:r>
      <w:r>
        <w:rPr>
          <w:rStyle w:val="8"/>
          <w:rFonts w:hint="eastAsia" w:ascii="仿宋_GB2312" w:hAnsi="黑体" w:eastAsia="仿宋_GB2312"/>
          <w:b w:val="0"/>
          <w:spacing w:val="8"/>
          <w:sz w:val="32"/>
          <w:szCs w:val="32"/>
        </w:rPr>
        <w:t>本行全渠道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受理消费投诉共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31件（</w:t>
      </w:r>
      <w:r>
        <w:rPr>
          <w:rStyle w:val="8"/>
          <w:rFonts w:ascii="仿宋_GB2312" w:hAnsi="黑体" w:eastAsia="仿宋_GB2312"/>
          <w:b w:val="0"/>
          <w:spacing w:val="8"/>
          <w:sz w:val="32"/>
          <w:szCs w:val="32"/>
        </w:rPr>
        <w:t>不含监管机构转办且不纳入通报的投诉件）。其中，同客户同事项重复投诉件共7件，剔除重复投诉后，实际受理首诉为24件，同比减少10件，降幅为29.41%。</w:t>
      </w:r>
      <w:r>
        <w:rPr>
          <w:rFonts w:hint="eastAsia" w:ascii="仿宋_GB2312" w:hAnsi="仿宋" w:eastAsia="仿宋_GB2312"/>
          <w:sz w:val="32"/>
          <w:szCs w:val="32"/>
        </w:rPr>
        <w:t>本年度投诉办结率</w:t>
      </w:r>
      <w:r>
        <w:rPr>
          <w:rFonts w:ascii="仿宋_GB2312" w:hAnsi="仿宋" w:eastAsia="仿宋_GB2312"/>
          <w:sz w:val="32"/>
          <w:szCs w:val="32"/>
        </w:rPr>
        <w:t>100%，全年未发生重大投诉事件或群体性投诉事件，有效保障客户的合理诉求得到妥善解决。</w:t>
      </w:r>
    </w:p>
    <w:p w14:paraId="59FFB311">
      <w:pPr>
        <w:pStyle w:val="5"/>
        <w:shd w:val="clear" w:color="auto" w:fill="FFFFFF"/>
        <w:spacing w:before="0" w:beforeAutospacing="0" w:after="0" w:afterAutospacing="0" w:line="570" w:lineRule="exact"/>
        <w:ind w:firstLine="672" w:firstLineChars="200"/>
        <w:jc w:val="both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pacing w:val="8"/>
          <w:sz w:val="32"/>
          <w:szCs w:val="32"/>
        </w:rPr>
        <w:t>二、</w:t>
      </w:r>
      <w:r>
        <w:rPr>
          <w:rStyle w:val="8"/>
          <w:rFonts w:hint="eastAsia" w:ascii="黑体" w:hAnsi="黑体" w:eastAsia="黑体"/>
          <w:b w:val="0"/>
          <w:sz w:val="32"/>
          <w:szCs w:val="32"/>
        </w:rPr>
        <w:t>投诉情况分析</w:t>
      </w:r>
    </w:p>
    <w:p w14:paraId="65A97E29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570" w:lineRule="exact"/>
        <w:jc w:val="both"/>
        <w:rPr>
          <w:rFonts w:ascii="楷体_GB2312" w:hAnsi="仿宋" w:eastAsia="楷体_GB2312"/>
          <w:spacing w:val="8"/>
          <w:sz w:val="32"/>
          <w:szCs w:val="32"/>
        </w:rPr>
      </w:pPr>
      <w:r>
        <w:rPr>
          <w:rFonts w:hint="eastAsia" w:ascii="楷体_GB2312" w:hAnsi="仿宋" w:eastAsia="楷体_GB2312"/>
          <w:spacing w:val="8"/>
          <w:sz w:val="32"/>
          <w:szCs w:val="32"/>
        </w:rPr>
        <w:t>投诉业务类型。</w:t>
      </w:r>
    </w:p>
    <w:p w14:paraId="1C3F1D66">
      <w:pPr>
        <w:pStyle w:val="5"/>
        <w:shd w:val="clear" w:color="auto" w:fill="FFFFFF"/>
        <w:spacing w:before="0" w:beforeAutospacing="0" w:after="0" w:afterAutospacing="0" w:line="570" w:lineRule="exact"/>
        <w:ind w:firstLine="672" w:firstLineChars="200"/>
        <w:jc w:val="both"/>
        <w:rPr>
          <w:rFonts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从投诉业务类型看，主要集中于银行卡类业务</w:t>
      </w:r>
      <w:r>
        <w:rPr>
          <w:rFonts w:ascii="仿宋_GB2312" w:hAnsi="仿宋" w:eastAsia="仿宋_GB2312"/>
          <w:spacing w:val="8"/>
          <w:sz w:val="32"/>
          <w:szCs w:val="32"/>
        </w:rPr>
        <w:t>13件，占比41.94%；其他类业务9件，占比29.03%；贷款类业务8件，占比25.81%；人民币储蓄类业务1件，占比3.22%。</w:t>
      </w:r>
    </w:p>
    <w:p w14:paraId="6994EA2E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570" w:lineRule="exact"/>
        <w:jc w:val="both"/>
        <w:rPr>
          <w:rFonts w:ascii="楷体_GB2312" w:hAnsi="仿宋" w:eastAsia="楷体_GB2312"/>
          <w:spacing w:val="8"/>
          <w:sz w:val="32"/>
          <w:szCs w:val="32"/>
        </w:rPr>
      </w:pPr>
      <w:r>
        <w:rPr>
          <w:rFonts w:hint="eastAsia" w:ascii="楷体_GB2312" w:hAnsi="仿宋" w:eastAsia="楷体_GB2312"/>
          <w:spacing w:val="8"/>
          <w:sz w:val="32"/>
          <w:szCs w:val="32"/>
        </w:rPr>
        <w:t>投诉地区分布。</w:t>
      </w:r>
    </w:p>
    <w:p w14:paraId="6BB9643C">
      <w:pPr>
        <w:pStyle w:val="5"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ascii="仿宋_GB2312" w:hAnsi="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</w:rPr>
        <w:t>从投诉地区分布看，揭东区投诉</w:t>
      </w:r>
      <w:r>
        <w:rPr>
          <w:rFonts w:ascii="仿宋_GB2312" w:hAnsi="仿宋" w:eastAsia="仿宋_GB2312" w:cstheme="minorBidi"/>
          <w:kern w:val="2"/>
          <w:sz w:val="32"/>
          <w:szCs w:val="32"/>
        </w:rPr>
        <w:t>27件，占比87.10%，榕城区投诉4件，占比12.90%。</w:t>
      </w:r>
    </w:p>
    <w:p w14:paraId="5774897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570" w:lineRule="exact"/>
        <w:jc w:val="both"/>
        <w:rPr>
          <w:rFonts w:ascii="楷体_GB2312" w:hAnsi="仿宋" w:eastAsia="楷体_GB2312"/>
          <w:spacing w:val="8"/>
          <w:sz w:val="32"/>
          <w:szCs w:val="32"/>
        </w:rPr>
      </w:pPr>
      <w:r>
        <w:rPr>
          <w:rFonts w:hint="eastAsia" w:ascii="楷体_GB2312" w:hAnsi="仿宋" w:eastAsia="楷体_GB2312"/>
          <w:spacing w:val="8"/>
          <w:sz w:val="32"/>
          <w:szCs w:val="32"/>
        </w:rPr>
        <w:t>投诉原因分布。</w:t>
      </w:r>
    </w:p>
    <w:p w14:paraId="6085ADF6">
      <w:pPr>
        <w:spacing w:line="57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客户投诉原因主要是：因金融机构管理制度、业务规则与流程引起的投诉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件，占比6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%；因债务催收方式和手段引起的投诉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件，占比</w:t>
      </w:r>
      <w:r>
        <w:rPr>
          <w:rFonts w:ascii="仿宋_GB2312" w:hAnsi="仿宋" w:eastAsia="仿宋_GB2312"/>
          <w:sz w:val="32"/>
          <w:szCs w:val="32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%；因服务态度及服务质量引起的投诉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件，占比6%。因信息披露引起的投诉、因定价收费引起的投诉及因消费者资金安全引起的投诉各1件，共占比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2619295"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2025年主要工作举措</w:t>
      </w:r>
    </w:p>
    <w:p w14:paraId="5FC0FD30">
      <w:pPr>
        <w:spacing w:line="570" w:lineRule="exact"/>
        <w:ind w:firstLine="640" w:firstLineChars="200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2025年，我行围绕全年消费投诉反映的突出问题，针对性开展投诉治理工作，切实维护金融消费者合法权益。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压实主体责任，健全投诉闭环管理，落实“首问负责制”“限时办结制”，并将投诉处理时效、质量及客户满意度纳入服务考核，推动管理提质；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深化源头治理，针对信贷、运营、服务效率等高频投诉领域逐项整改，规范业务流程、优化服务举措，从根源减少投诉；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强化能力建设，开展溯源治理专项行动，编制高频投诉场景解释指引手册并组织培训，上线“客户之声”意见簿，搭建客户反馈平台，持续提升服务质效。</w:t>
      </w:r>
    </w:p>
    <w:p w14:paraId="7D268148">
      <w:pPr>
        <w:pStyle w:val="5"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四、下一步工作计划</w:t>
      </w:r>
    </w:p>
    <w:p w14:paraId="68BFB1BE">
      <w:pPr>
        <w:spacing w:line="570" w:lineRule="exact"/>
        <w:ind w:firstLine="640" w:firstLineChars="200"/>
        <w:rPr>
          <w:rFonts w:ascii="仿宋_GB2312" w:hAnsi="仿宋" w:eastAsia="仿宋_GB2312"/>
          <w:bCs/>
          <w:spacing w:val="8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2026年，我行将继续坚守“以客户为中心”的服务理念，严格落实消费者权益保护主体责任，完善投诉纠纷多元预防化解体系。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常态化推进投诉溯源治理，定期开展数据回溯分析，识别共性风险问题，推动各业务部门对照整改，同步优化制度流程，强化源头管控；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加强员工培训与服务意识教育，通过案例分享、情景演练等形式，</w:t>
      </w:r>
      <w:r>
        <w:rPr>
          <w:rFonts w:hint="eastAsia" w:ascii="仿宋_GB2312" w:hAnsi="仿宋" w:eastAsia="仿宋_GB2312"/>
          <w:sz w:val="32"/>
          <w:szCs w:val="32"/>
        </w:rPr>
        <w:t>提升一线员工政策解读、沟通协调与应急处置能力，</w:t>
      </w:r>
      <w:r>
        <w:rPr>
          <w:rFonts w:hint="eastAsia" w:ascii="仿宋_GB2312" w:eastAsia="仿宋_GB2312"/>
          <w:sz w:val="32"/>
          <w:szCs w:val="32"/>
        </w:rPr>
        <w:t>持续提升服务质效；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深化金融宣教与</w:t>
      </w:r>
      <w:r>
        <w:rPr>
          <w:rFonts w:hint="eastAsia" w:ascii="仿宋_GB2312" w:hAnsi="仿宋" w:eastAsia="仿宋_GB2312"/>
          <w:sz w:val="32"/>
          <w:szCs w:val="32"/>
        </w:rPr>
        <w:t>政策解读，</w:t>
      </w:r>
      <w:r>
        <w:rPr>
          <w:rFonts w:hint="eastAsia" w:ascii="仿宋_GB2312" w:eastAsia="仿宋_GB2312"/>
          <w:sz w:val="32"/>
          <w:szCs w:val="32"/>
        </w:rPr>
        <w:t>依托多渠道开展常态化金融知识普及</w:t>
      </w:r>
      <w:r>
        <w:rPr>
          <w:rFonts w:hint="eastAsia" w:ascii="仿宋_GB2312" w:hAnsi="仿宋_GB2312" w:eastAsia="仿宋_GB2312" w:cs="仿宋_GB2312"/>
          <w:sz w:val="32"/>
          <w:szCs w:val="32"/>
        </w:rPr>
        <w:t>，持续提升公众金融素养，从源头减少金融纠纷，共建良好金融消费环境。</w:t>
      </w:r>
    </w:p>
    <w:p w14:paraId="40FC377E">
      <w:pPr>
        <w:spacing w:line="570" w:lineRule="exact"/>
        <w:ind w:firstLine="672" w:firstLineChars="200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感谢广大客户长期以来的信任与支持，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诚挚欢迎客户通过客服热线（</w:t>
      </w:r>
      <w:r>
        <w:rPr>
          <w:rFonts w:ascii="仿宋_GB2312" w:hAnsi="Microsoft YaHei UI" w:eastAsia="仿宋_GB2312"/>
          <w:spacing w:val="8"/>
          <w:sz w:val="32"/>
          <w:szCs w:val="32"/>
        </w:rPr>
        <w:t>0663-3264409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、9</w:t>
      </w:r>
      <w:r>
        <w:rPr>
          <w:rFonts w:ascii="仿宋_GB2312" w:hAnsi="Microsoft YaHei UI" w:eastAsia="仿宋_GB2312"/>
          <w:spacing w:val="8"/>
          <w:sz w:val="32"/>
          <w:szCs w:val="32"/>
        </w:rPr>
        <w:t>6138）、营业网点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及网上银行</w:t>
      </w:r>
      <w:r>
        <w:rPr>
          <w:rFonts w:ascii="仿宋_GB2312" w:hAnsi="Microsoft YaHei UI" w:eastAsia="仿宋_GB2312"/>
          <w:spacing w:val="8"/>
          <w:sz w:val="32"/>
          <w:szCs w:val="32"/>
        </w:rPr>
        <w:t>等渠道提出宝贵意见，共同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推动我行服务提质增效。</w:t>
      </w:r>
    </w:p>
    <w:p w14:paraId="02694EF2">
      <w:pPr>
        <w:spacing w:line="570" w:lineRule="exact"/>
        <w:ind w:firstLine="672" w:firstLineChars="200"/>
        <w:rPr>
          <w:rFonts w:ascii="仿宋_GB2312" w:hAnsi="Microsoft YaHei UI" w:eastAsia="仿宋_GB2312"/>
          <w:spacing w:val="8"/>
          <w:sz w:val="32"/>
          <w:szCs w:val="32"/>
        </w:rPr>
      </w:pPr>
    </w:p>
    <w:p w14:paraId="45C21585">
      <w:pPr>
        <w:spacing w:line="570" w:lineRule="exact"/>
        <w:ind w:firstLine="672" w:firstLineChars="200"/>
        <w:rPr>
          <w:rFonts w:ascii="仿宋_GB2312" w:hAnsi="Microsoft YaHei UI" w:eastAsia="仿宋_GB2312"/>
          <w:spacing w:val="8"/>
          <w:sz w:val="32"/>
          <w:szCs w:val="32"/>
        </w:rPr>
      </w:pPr>
    </w:p>
    <w:p w14:paraId="00FF3A3F">
      <w:pPr>
        <w:pStyle w:val="5"/>
        <w:shd w:val="clear" w:color="auto" w:fill="FFFFFF"/>
        <w:tabs>
          <w:tab w:val="left" w:pos="7088"/>
        </w:tabs>
        <w:spacing w:before="0" w:beforeAutospacing="0" w:after="0" w:afterAutospacing="0" w:line="570" w:lineRule="exact"/>
        <w:ind w:firstLine="480"/>
        <w:jc w:val="both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ascii="仿宋_GB2312" w:hAnsi="Calibri" w:eastAsia="仿宋_GB2312" w:cs="Calibri"/>
          <w:spacing w:val="8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广东揭东农村商业银行股份有限公司</w:t>
      </w:r>
    </w:p>
    <w:p w14:paraId="45301E7A">
      <w:pPr>
        <w:pStyle w:val="5"/>
        <w:shd w:val="clear" w:color="auto" w:fill="FFFFFF"/>
        <w:spacing w:before="0" w:beforeAutospacing="0" w:after="0" w:afterAutospacing="0" w:line="570" w:lineRule="exact"/>
        <w:ind w:right="640" w:firstLine="480"/>
        <w:jc w:val="both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pacing w:val="8"/>
          <w:sz w:val="32"/>
          <w:szCs w:val="32"/>
        </w:rPr>
        <w:t> </w:t>
      </w:r>
      <w:r>
        <w:rPr>
          <w:rFonts w:hint="eastAsia" w:ascii="仿宋_GB2312" w:hAnsi="仿宋" w:eastAsia="仿宋_GB2312"/>
          <w:spacing w:val="8"/>
          <w:sz w:val="32"/>
          <w:szCs w:val="32"/>
        </w:rPr>
        <w:t>202</w:t>
      </w:r>
      <w:r>
        <w:rPr>
          <w:rFonts w:ascii="仿宋_GB2312" w:hAnsi="仿宋" w:eastAsia="仿宋_GB2312"/>
          <w:spacing w:val="8"/>
          <w:sz w:val="32"/>
          <w:szCs w:val="32"/>
        </w:rPr>
        <w:t>6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年</w:t>
      </w:r>
      <w:r>
        <w:rPr>
          <w:rFonts w:ascii="仿宋_GB2312" w:hAnsi="仿宋" w:eastAsia="仿宋_GB2312"/>
          <w:spacing w:val="8"/>
          <w:sz w:val="32"/>
          <w:szCs w:val="32"/>
        </w:rPr>
        <w:t>3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月</w:t>
      </w:r>
      <w:r>
        <w:rPr>
          <w:rFonts w:ascii="仿宋_GB2312" w:hAnsi="仿宋" w:eastAsia="仿宋_GB2312"/>
          <w:spacing w:val="8"/>
          <w:sz w:val="32"/>
          <w:szCs w:val="32"/>
        </w:rPr>
        <w:t>31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日</w:t>
      </w: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139B8"/>
    <w:multiLevelType w:val="multilevel"/>
    <w:tmpl w:val="569139B8"/>
    <w:lvl w:ilvl="0" w:tentative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84"/>
    <w:rsid w:val="0001003F"/>
    <w:rsid w:val="00015779"/>
    <w:rsid w:val="00032C84"/>
    <w:rsid w:val="00076726"/>
    <w:rsid w:val="00085BEF"/>
    <w:rsid w:val="000B4F1E"/>
    <w:rsid w:val="00107622"/>
    <w:rsid w:val="00124CD3"/>
    <w:rsid w:val="001432B0"/>
    <w:rsid w:val="00144448"/>
    <w:rsid w:val="00145D09"/>
    <w:rsid w:val="0016710B"/>
    <w:rsid w:val="00196741"/>
    <w:rsid w:val="00197471"/>
    <w:rsid w:val="001C660F"/>
    <w:rsid w:val="001C6FCA"/>
    <w:rsid w:val="001D4C0F"/>
    <w:rsid w:val="00212421"/>
    <w:rsid w:val="00247CB9"/>
    <w:rsid w:val="002625AF"/>
    <w:rsid w:val="0027618A"/>
    <w:rsid w:val="002855F3"/>
    <w:rsid w:val="00286A16"/>
    <w:rsid w:val="002A65B5"/>
    <w:rsid w:val="002C6F80"/>
    <w:rsid w:val="002F17B9"/>
    <w:rsid w:val="0033163D"/>
    <w:rsid w:val="0033229B"/>
    <w:rsid w:val="00337658"/>
    <w:rsid w:val="00355B17"/>
    <w:rsid w:val="003726D2"/>
    <w:rsid w:val="00390CB6"/>
    <w:rsid w:val="003915AC"/>
    <w:rsid w:val="003A7025"/>
    <w:rsid w:val="003B2B0B"/>
    <w:rsid w:val="003C5098"/>
    <w:rsid w:val="003D528F"/>
    <w:rsid w:val="003E30F9"/>
    <w:rsid w:val="003E7C73"/>
    <w:rsid w:val="00410E5C"/>
    <w:rsid w:val="00425828"/>
    <w:rsid w:val="00425E6D"/>
    <w:rsid w:val="004D3B89"/>
    <w:rsid w:val="004F1102"/>
    <w:rsid w:val="004F25A6"/>
    <w:rsid w:val="00505DAF"/>
    <w:rsid w:val="00571234"/>
    <w:rsid w:val="005809F4"/>
    <w:rsid w:val="005B5FB9"/>
    <w:rsid w:val="005C0B80"/>
    <w:rsid w:val="005C5A01"/>
    <w:rsid w:val="005E0853"/>
    <w:rsid w:val="006010A1"/>
    <w:rsid w:val="006153FE"/>
    <w:rsid w:val="00636925"/>
    <w:rsid w:val="00652DF0"/>
    <w:rsid w:val="00665ED6"/>
    <w:rsid w:val="00666570"/>
    <w:rsid w:val="006676D6"/>
    <w:rsid w:val="006A50CA"/>
    <w:rsid w:val="006C00B2"/>
    <w:rsid w:val="006C6F7C"/>
    <w:rsid w:val="006D27F1"/>
    <w:rsid w:val="00715604"/>
    <w:rsid w:val="00772D23"/>
    <w:rsid w:val="007A58CE"/>
    <w:rsid w:val="007C21C4"/>
    <w:rsid w:val="007D68F4"/>
    <w:rsid w:val="007E0CF7"/>
    <w:rsid w:val="00842E2C"/>
    <w:rsid w:val="00852A41"/>
    <w:rsid w:val="00870EE9"/>
    <w:rsid w:val="00871B57"/>
    <w:rsid w:val="008829EF"/>
    <w:rsid w:val="008A3785"/>
    <w:rsid w:val="008E1BE1"/>
    <w:rsid w:val="00916543"/>
    <w:rsid w:val="00921EF7"/>
    <w:rsid w:val="00993424"/>
    <w:rsid w:val="009D05B5"/>
    <w:rsid w:val="009E4699"/>
    <w:rsid w:val="00A01D52"/>
    <w:rsid w:val="00A2207D"/>
    <w:rsid w:val="00A31026"/>
    <w:rsid w:val="00A33486"/>
    <w:rsid w:val="00A35A31"/>
    <w:rsid w:val="00A85C96"/>
    <w:rsid w:val="00AA5EB5"/>
    <w:rsid w:val="00AB36FE"/>
    <w:rsid w:val="00AD53C2"/>
    <w:rsid w:val="00AE3DCA"/>
    <w:rsid w:val="00AF0A86"/>
    <w:rsid w:val="00AF69CE"/>
    <w:rsid w:val="00AF75AC"/>
    <w:rsid w:val="00B0599A"/>
    <w:rsid w:val="00B107BC"/>
    <w:rsid w:val="00B227BF"/>
    <w:rsid w:val="00B8124D"/>
    <w:rsid w:val="00BB1541"/>
    <w:rsid w:val="00BD6191"/>
    <w:rsid w:val="00BD73CE"/>
    <w:rsid w:val="00C02491"/>
    <w:rsid w:val="00C049F9"/>
    <w:rsid w:val="00C058FE"/>
    <w:rsid w:val="00C1174C"/>
    <w:rsid w:val="00C1262A"/>
    <w:rsid w:val="00C90F85"/>
    <w:rsid w:val="00CC5E95"/>
    <w:rsid w:val="00CE6B45"/>
    <w:rsid w:val="00CF7C70"/>
    <w:rsid w:val="00D32C71"/>
    <w:rsid w:val="00D34102"/>
    <w:rsid w:val="00D854C1"/>
    <w:rsid w:val="00D91D66"/>
    <w:rsid w:val="00DC33A9"/>
    <w:rsid w:val="00DC6C04"/>
    <w:rsid w:val="00E01308"/>
    <w:rsid w:val="00E11110"/>
    <w:rsid w:val="00E54FAD"/>
    <w:rsid w:val="00E93C06"/>
    <w:rsid w:val="00EB0170"/>
    <w:rsid w:val="00EB652F"/>
    <w:rsid w:val="00EE2C86"/>
    <w:rsid w:val="00EF0C42"/>
    <w:rsid w:val="00F4736A"/>
    <w:rsid w:val="00F520E0"/>
    <w:rsid w:val="00F52CD1"/>
    <w:rsid w:val="00F929CB"/>
    <w:rsid w:val="00F9721A"/>
    <w:rsid w:val="00FC09BE"/>
    <w:rsid w:val="00FC42A6"/>
    <w:rsid w:val="06E83CB3"/>
    <w:rsid w:val="196158DC"/>
    <w:rsid w:val="196A555D"/>
    <w:rsid w:val="1D3D4708"/>
    <w:rsid w:val="1DD32F04"/>
    <w:rsid w:val="3C261737"/>
    <w:rsid w:val="46661861"/>
    <w:rsid w:val="46892810"/>
    <w:rsid w:val="57684961"/>
    <w:rsid w:val="6DFB720A"/>
    <w:rsid w:val="6E887373"/>
    <w:rsid w:val="73E346AF"/>
    <w:rsid w:val="7DBD5C5A"/>
    <w:rsid w:val="7F9E73D3"/>
    <w:rsid w:val="9C5F9CFA"/>
    <w:rsid w:val="DDF5585C"/>
    <w:rsid w:val="FC6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183</Words>
  <Characters>1045</Characters>
  <Lines>8</Lines>
  <Paragraphs>2</Paragraphs>
  <TotalTime>24</TotalTime>
  <ScaleCrop>false</ScaleCrop>
  <LinksUpToDate>false</LinksUpToDate>
  <CharactersWithSpaces>1226</CharactersWithSpaces>
  <Application>WPS Office WWO_wpscloud_20241127135947-7b6df83df5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2025-03-14T14:58:00Z</dcterms:created>
  <dc:creator>1</dc:creator>
  <cp:lastModifiedBy>吴雪妮</cp:lastModifiedBy>
  <cp:lastPrinted>2025-04-11T16:33:00Z</cp:lastPrinted>
  <dcterms:modified xsi:type="dcterms:W3CDTF">2026-04-15T11:42:52Z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DFA50ED1AD5248C33C09DF697FEE1869_43</vt:lpwstr>
  </property>
</Properties>
</file>