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360" w:lineRule="auto"/>
        <w:jc w:val="center"/>
        <w:rPr>
          <w:rFonts w:ascii="黑体" w:hAnsi="黑体" w:eastAsia="黑体" w:cs="仿宋_GB2312"/>
          <w:sz w:val="40"/>
          <w:szCs w:val="32"/>
        </w:rPr>
      </w:pPr>
      <w:r>
        <w:rPr>
          <w:rFonts w:hint="eastAsia" w:ascii="黑体" w:hAnsi="黑体" w:eastAsia="黑体" w:cs="仿宋_GB2312"/>
          <w:sz w:val="40"/>
          <w:szCs w:val="32"/>
        </w:rPr>
        <w:t>广东揭东农村商业银行股份有限公司</w:t>
      </w:r>
    </w:p>
    <w:p>
      <w:pPr>
        <w:spacing w:line="360" w:lineRule="auto"/>
        <w:jc w:val="center"/>
        <w:rPr>
          <w:rFonts w:ascii="黑体" w:hAnsi="黑体" w:eastAsia="黑体" w:cs="仿宋_GB2312"/>
          <w:sz w:val="40"/>
          <w:szCs w:val="32"/>
        </w:rPr>
      </w:pPr>
      <w:r>
        <w:rPr>
          <w:rFonts w:hint="eastAsia" w:ascii="黑体" w:hAnsi="黑体" w:eastAsia="黑体" w:cs="仿宋_GB2312"/>
          <w:sz w:val="40"/>
          <w:szCs w:val="32"/>
        </w:rPr>
        <w:t>202</w:t>
      </w:r>
      <w:r>
        <w:rPr>
          <w:rFonts w:hint="eastAsia" w:ascii="黑体" w:hAnsi="黑体" w:eastAsia="黑体" w:cs="仿宋_GB2312"/>
          <w:sz w:val="40"/>
          <w:szCs w:val="32"/>
          <w:lang w:val="en-US" w:eastAsia="zh-CN"/>
        </w:rPr>
        <w:t>4</w:t>
      </w:r>
      <w:r>
        <w:rPr>
          <w:rFonts w:hint="eastAsia" w:ascii="黑体" w:hAnsi="黑体" w:eastAsia="黑体" w:cs="仿宋_GB2312"/>
          <w:sz w:val="40"/>
          <w:szCs w:val="32"/>
        </w:rPr>
        <w:t>年</w:t>
      </w:r>
      <w:r>
        <w:rPr>
          <w:rFonts w:hint="eastAsia" w:ascii="黑体" w:hAnsi="黑体" w:eastAsia="黑体" w:cs="黑体"/>
          <w:sz w:val="40"/>
          <w:u w:color="auto"/>
          <w:lang w:val="en-US" w:eastAsia="zh-CN"/>
        </w:rPr>
        <w:t>度</w:t>
      </w:r>
      <w:r>
        <w:rPr>
          <w:rFonts w:hint="eastAsia" w:ascii="黑体" w:hAnsi="黑体" w:eastAsia="黑体" w:cs="仿宋_GB2312"/>
          <w:sz w:val="40"/>
          <w:szCs w:val="32"/>
        </w:rPr>
        <w:t>环境信息披露报告</w:t>
      </w: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jc w:val="center"/>
        <w:rPr>
          <w:rFonts w:ascii="黑体" w:hAnsi="黑体" w:eastAsia="黑体" w:cs="仿宋"/>
          <w:sz w:val="40"/>
          <w:szCs w:val="40"/>
        </w:rPr>
      </w:pPr>
      <w:r>
        <w:rPr>
          <w:rFonts w:ascii="黑体" w:hAnsi="黑体" w:eastAsia="黑体" w:cs="仿宋"/>
          <w:sz w:val="40"/>
          <w:szCs w:val="40"/>
        </w:rPr>
        <w:t>202</w:t>
      </w:r>
      <w:r>
        <w:rPr>
          <w:rFonts w:hint="eastAsia" w:ascii="黑体" w:hAnsi="黑体" w:eastAsia="黑体" w:cs="仿宋"/>
          <w:sz w:val="40"/>
          <w:szCs w:val="40"/>
          <w:lang w:val="en-US" w:eastAsia="zh-CN"/>
        </w:rPr>
        <w:t>5</w:t>
      </w:r>
      <w:r>
        <w:rPr>
          <w:rFonts w:hint="eastAsia" w:ascii="黑体" w:hAnsi="黑体" w:eastAsia="黑体" w:cs="仿宋"/>
          <w:sz w:val="40"/>
          <w:szCs w:val="40"/>
        </w:rPr>
        <w:t>年</w:t>
      </w:r>
      <w:r>
        <w:rPr>
          <w:rFonts w:hint="eastAsia" w:ascii="黑体" w:hAnsi="黑体" w:eastAsia="黑体" w:cs="仿宋"/>
          <w:sz w:val="40"/>
          <w:szCs w:val="40"/>
          <w:lang w:val="en-US" w:eastAsia="zh-CN"/>
        </w:rPr>
        <w:t>5</w:t>
      </w:r>
      <w:r>
        <w:rPr>
          <w:rFonts w:hint="eastAsia" w:ascii="黑体" w:hAnsi="黑体" w:eastAsia="黑体" w:cs="仿宋"/>
          <w:sz w:val="40"/>
          <w:szCs w:val="40"/>
        </w:rPr>
        <w:t>月</w:t>
      </w:r>
    </w:p>
    <w:p>
      <w:pPr>
        <w:spacing w:line="360" w:lineRule="auto"/>
        <w:ind w:firstLine="800"/>
        <w:rPr>
          <w:rFonts w:ascii="黑体" w:hAnsi="黑体" w:eastAsia="黑体" w:cs="仿宋_GB2312"/>
          <w:sz w:val="40"/>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仿宋_GB2312" w:hAnsi="仿宋_GB2312" w:eastAsia="仿宋_GB2312" w:cs="仿宋_GB2312"/>
        </w:rPr>
      </w:pPr>
      <w:r>
        <w:rPr>
          <w:rFonts w:hint="eastAsia" w:ascii="仿宋_GB2312" w:hAnsi="仿宋_GB2312" w:eastAsia="仿宋_GB2312" w:cs="仿宋_GB2312"/>
        </w:rPr>
        <w:t>报告说明</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（一）涵盖期间</w:t>
      </w:r>
    </w:p>
    <w:p>
      <w:pPr>
        <w:spacing w:line="58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本报告涵盖期限为202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年01月01日至202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年12月31日。</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（二）报告周期</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本报告为年报报告。</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（三）报告范围</w:t>
      </w:r>
    </w:p>
    <w:p>
      <w:pPr>
        <w:spacing w:line="57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本报告以广东揭东农村商业银行银行股份有限公司（以下简称“揭东农商银行”或“本行”）为主体，涵盖揭东农商银行总行及辖内分支机构。</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（四）报告数据说明</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报告中财务数据以202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年度为主，主要来自于揭东农商银</w:t>
      </w:r>
      <w:r>
        <w:rPr>
          <w:rFonts w:hint="eastAsia" w:ascii="仿宋_GB2312" w:hAnsi="仿宋_GB2312" w:eastAsia="仿宋_GB2312" w:cs="仿宋_GB2312"/>
          <w:szCs w:val="32"/>
          <w:lang w:val="en-US" w:eastAsia="zh-CN"/>
        </w:rPr>
        <w:t>行</w:t>
      </w:r>
      <w:r>
        <w:rPr>
          <w:rFonts w:hint="eastAsia" w:ascii="仿宋_GB2312" w:hAnsi="仿宋_GB2312" w:eastAsia="仿宋_GB2312" w:cs="仿宋_GB2312"/>
          <w:szCs w:val="32"/>
        </w:rPr>
        <w:t>文件和资料。</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（五）编制依据</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本报告遵循《金融机构环境信息披露指南》（JR/T 0227—2021）、《银行业金融机构环境信息披露操作手册（试行）》、《气候相关财务信息披露工作组（TCFD）建议报告》等文件中的环境相关披露要求，充分考虑利益相关方的愿望，结合揭东农商银行的实际情况进行编制。</w:t>
      </w:r>
    </w:p>
    <w:p>
      <w:pPr>
        <w:ind w:firstLine="640" w:firstLineChars="200"/>
        <w:rPr>
          <w:rFonts w:hint="eastAsia" w:ascii="仿宋_GB2312" w:hAnsi="仿宋_GB2312" w:eastAsia="仿宋_GB2312" w:cs="仿宋_GB2312"/>
          <w:szCs w:val="32"/>
        </w:rPr>
      </w:pPr>
      <w:bookmarkStart w:id="0" w:name="_Toc50364783"/>
      <w:bookmarkStart w:id="1" w:name="_Toc5671"/>
      <w:bookmarkStart w:id="2" w:name="_Toc47340940"/>
      <w:bookmarkStart w:id="3" w:name="_Toc95406422"/>
      <w:r>
        <w:rPr>
          <w:rFonts w:hint="eastAsia" w:ascii="仿宋_GB2312" w:hAnsi="仿宋_GB2312" w:eastAsia="仿宋_GB2312" w:cs="仿宋_GB2312"/>
          <w:szCs w:val="32"/>
        </w:rPr>
        <w:t>（六）发布形式</w:t>
      </w:r>
      <w:bookmarkEnd w:id="0"/>
      <w:bookmarkEnd w:id="1"/>
      <w:bookmarkEnd w:id="2"/>
      <w:bookmarkEnd w:id="3"/>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本报告采用中文简体文字撰写，以PDF电子文档形式向公众发布，其中PDF电子文档可以在官方网站下载阅读。</w:t>
      </w:r>
    </w:p>
    <w:p>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（七）报告反馈及联系方式</w:t>
      </w:r>
    </w:p>
    <w:p>
      <w:pPr>
        <w:spacing w:line="57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通讯地址：广东省揭阳市揭东区金溪大道363号 </w:t>
      </w:r>
    </w:p>
    <w:p>
      <w:pPr>
        <w:spacing w:line="57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邮政编码：515500</w:t>
      </w:r>
    </w:p>
    <w:p>
      <w:pPr>
        <w:spacing w:line="57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服务电话：0663-3277980</w:t>
      </w:r>
    </w:p>
    <w:p>
      <w:pPr>
        <w:spacing w:line="57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传真号码：0663-3264411</w:t>
      </w:r>
    </w:p>
    <w:p>
      <w:pPr>
        <w:spacing w:line="360" w:lineRule="auto"/>
        <w:ind w:firstLine="640" w:firstLineChars="200"/>
        <w:rPr>
          <w:rFonts w:eastAsia="仿宋" w:cs="仿宋"/>
          <w:szCs w:val="32"/>
        </w:rPr>
      </w:pPr>
    </w:p>
    <w:p>
      <w:pPr>
        <w:rPr>
          <w:rFonts w:eastAsia="仿宋" w:cs="仿宋_GB2312"/>
          <w:szCs w:val="32"/>
        </w:rPr>
      </w:pPr>
      <w:r>
        <w:rPr>
          <w:rFonts w:eastAsia="仿宋" w:cs="仿宋_GB2312"/>
          <w:szCs w:val="32"/>
        </w:rPr>
        <w:br w:type="page"/>
      </w:r>
    </w:p>
    <w:sdt>
      <w:sdtPr>
        <w:rPr>
          <w:rFonts w:ascii="宋体" w:hAnsi="宋体" w:eastAsia="宋体" w:cs="Times New Roman"/>
          <w:kern w:val="2"/>
          <w:sz w:val="21"/>
          <w:lang w:val="en-US" w:eastAsia="zh-CN" w:bidi="ar-SA"/>
        </w:rPr>
        <w:id w:val="147469643"/>
        <w15:color w:val="DBDBDB"/>
        <w:docPartObj>
          <w:docPartGallery w:val="Table of Contents"/>
          <w:docPartUnique/>
        </w:docPartObj>
      </w:sdtPr>
      <w:sdtEndPr>
        <w:rPr>
          <w:rFonts w:ascii="Times New Roman" w:hAnsi="Times New Roman" w:eastAsia="仿宋"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32"/>
              <w:szCs w:val="32"/>
            </w:rPr>
            <w:t>目录</w:t>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_Toc18075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 总体概况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_Toc28920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 环境相关治理结构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 环境相关政策制度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_Toc26329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 环境相关产品创新与研究成果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_Toc26329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 环境风险管理流程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_Toc16947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 投融资活动对气候与环境产生的影响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_Toc21201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 经营活动对气候与环境的影响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_Toc21201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_Toc23238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 数据梳理校验及保护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_Toc23238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_Toc15849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lang w:val="en-US" w:eastAsia="zh-CN" w:bidi="ar-SA"/>
            </w:rPr>
            <w:t>九、 未来展望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_Toc15849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_Toc27179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附录1 自身经营温室气体统计口径与测算表达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_Toc20565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附录2 绿色信贷环境效益测算与表达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_Toc20565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附录3 投融资活动温室气体排放测算与表达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rPr>
              <w:rFonts w:eastAsia="仿宋" w:cs="仿宋_GB2312"/>
              <w:szCs w:val="32"/>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sz w:val="32"/>
              <w:szCs w:val="32"/>
            </w:rPr>
            <w:fldChar w:fldCharType="end"/>
          </w:r>
          <w:bookmarkStart w:id="20" w:name="_GoBack"/>
          <w:bookmarkEnd w:id="20"/>
        </w:p>
      </w:sdtContent>
    </w:sdt>
    <w:p>
      <w:pPr>
        <w:pStyle w:val="3"/>
        <w:keepNext/>
        <w:keepLines/>
        <w:pageBreakBefore w:val="0"/>
        <w:widowControl/>
        <w:numPr>
          <w:ilvl w:val="0"/>
          <w:numId w:val="0"/>
        </w:numPr>
        <w:kinsoku/>
        <w:wordWrap/>
        <w:overflowPunct/>
        <w:topLinePunct w:val="0"/>
        <w:autoSpaceDE/>
        <w:autoSpaceDN/>
        <w:bidi w:val="0"/>
        <w:adjustRightInd/>
        <w:snapToGrid/>
        <w:spacing w:line="570" w:lineRule="exact"/>
        <w:ind w:leftChars="200"/>
        <w:textAlignment w:val="auto"/>
      </w:pPr>
      <w:bookmarkStart w:id="4" w:name="_Toc18075"/>
      <w:r>
        <w:rPr>
          <w:rFonts w:hint="eastAsia"/>
          <w:lang w:val="en-US" w:eastAsia="zh-CN"/>
        </w:rPr>
        <w:t>一、</w:t>
      </w:r>
      <w:r>
        <w:rPr>
          <w:rFonts w:hint="eastAsia"/>
        </w:rPr>
        <w:t>总体概况</w:t>
      </w:r>
      <w:bookmarkEnd w:id="4"/>
      <w:r>
        <w:rPr>
          <w:rFonts w:hint="eastAsia"/>
        </w:rPr>
        <w:t xml:space="preserve"> </w:t>
      </w:r>
    </w:p>
    <w:p>
      <w:pPr>
        <w:pStyle w:val="4"/>
        <w:keepNext/>
        <w:keepLines/>
        <w:pageBreakBefore w:val="0"/>
        <w:widowControl/>
        <w:numPr>
          <w:ilvl w:val="1"/>
          <w:numId w:val="1"/>
        </w:numPr>
        <w:kinsoku/>
        <w:wordWrap/>
        <w:overflowPunct/>
        <w:topLinePunct w:val="0"/>
        <w:autoSpaceDE/>
        <w:autoSpaceDN/>
        <w:bidi w:val="0"/>
        <w:adjustRightInd/>
        <w:snapToGrid/>
        <w:spacing w:line="570" w:lineRule="exact"/>
        <w:ind w:left="0" w:firstLine="640" w:firstLineChars="200"/>
        <w:textAlignment w:val="auto"/>
      </w:pPr>
      <w:r>
        <w:rPr>
          <w:rFonts w:hint="eastAsia"/>
        </w:rPr>
        <w:t>年度总体概况</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广东揭东农村商业银行股份有限公司前身为揭东农村信用社，成立于20世纪50年代，于2014年1月26日改制成为揭东农商银行并正式挂牌开业，总部位于揭东区金溪大道363号。作为一家根植本土近70载的金融机构，本行一直坚持稳中求进、深入践行支农支小和绿色普惠金融。截至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年末，揭东农商银行</w:t>
      </w:r>
      <w:r>
        <w:rPr>
          <w:rFonts w:hint="eastAsia" w:ascii="仿宋_GB2312" w:hAnsi="仿宋_GB2312" w:eastAsia="仿宋_GB2312" w:cs="仿宋_GB2312"/>
          <w:lang w:val="en-US" w:eastAsia="zh-CN"/>
        </w:rPr>
        <w:t>资产规模突破300亿元，</w:t>
      </w:r>
      <w:r>
        <w:rPr>
          <w:rFonts w:hint="eastAsia" w:ascii="仿宋_GB2312" w:hAnsi="仿宋_GB2312" w:eastAsia="仿宋_GB2312" w:cs="仿宋_GB2312"/>
        </w:rPr>
        <w:t>资产总额30</w:t>
      </w:r>
      <w:r>
        <w:rPr>
          <w:rFonts w:hint="eastAsia" w:ascii="仿宋_GB2312" w:hAnsi="仿宋_GB2312" w:eastAsia="仿宋_GB2312" w:cs="仿宋_GB2312"/>
          <w:lang w:val="en-US" w:eastAsia="zh-CN"/>
        </w:rPr>
        <w:t>0</w:t>
      </w:r>
      <w:r>
        <w:rPr>
          <w:rFonts w:hint="eastAsia" w:ascii="仿宋_GB2312" w:hAnsi="仿宋_GB2312" w:eastAsia="仿宋_GB2312" w:cs="仿宋_GB2312"/>
        </w:rPr>
        <w:t>.</w:t>
      </w:r>
      <w:r>
        <w:rPr>
          <w:rFonts w:hint="eastAsia" w:ascii="仿宋_GB2312" w:hAnsi="仿宋_GB2312" w:eastAsia="仿宋_GB2312" w:cs="仿宋_GB2312"/>
          <w:lang w:val="en-US" w:eastAsia="zh-CN"/>
        </w:rPr>
        <w:t>05</w:t>
      </w:r>
      <w:r>
        <w:rPr>
          <w:rFonts w:hint="eastAsia" w:ascii="仿宋_GB2312" w:hAnsi="仿宋_GB2312" w:eastAsia="仿宋_GB2312" w:cs="仿宋_GB2312"/>
        </w:rPr>
        <w:t>亿元，各项存款</w:t>
      </w:r>
      <w:r>
        <w:rPr>
          <w:rFonts w:hint="eastAsia" w:ascii="仿宋_GB2312" w:hAnsi="仿宋_GB2312" w:eastAsia="仿宋_GB2312" w:cs="仿宋_GB2312"/>
          <w:lang w:val="en-US" w:eastAsia="zh-CN"/>
        </w:rPr>
        <w:t>267.48</w:t>
      </w:r>
      <w:r>
        <w:rPr>
          <w:rFonts w:hint="eastAsia" w:ascii="仿宋_GB2312" w:hAnsi="仿宋_GB2312" w:eastAsia="仿宋_GB2312" w:cs="仿宋_GB2312"/>
        </w:rPr>
        <w:t>亿元，各项贷款</w:t>
      </w:r>
      <w:r>
        <w:rPr>
          <w:rFonts w:hint="eastAsia" w:ascii="仿宋_GB2312" w:hAnsi="仿宋_GB2312" w:eastAsia="仿宋_GB2312" w:cs="仿宋_GB2312"/>
          <w:lang w:val="en-US" w:eastAsia="zh-CN"/>
        </w:rPr>
        <w:t>109.37</w:t>
      </w:r>
      <w:r>
        <w:rPr>
          <w:rFonts w:hint="eastAsia" w:ascii="仿宋_GB2312" w:hAnsi="仿宋_GB2312" w:eastAsia="仿宋_GB2312" w:cs="仿宋_GB2312"/>
        </w:rPr>
        <w:t>亿元，辖下营业网点8</w:t>
      </w:r>
      <w:r>
        <w:rPr>
          <w:rFonts w:hint="eastAsia" w:ascii="仿宋_GB2312" w:hAnsi="仿宋_GB2312" w:eastAsia="仿宋_GB2312" w:cs="仿宋_GB2312"/>
          <w:lang w:val="en-US" w:eastAsia="zh-CN"/>
        </w:rPr>
        <w:t>4</w:t>
      </w:r>
      <w:r>
        <w:rPr>
          <w:rFonts w:hint="eastAsia" w:ascii="仿宋_GB2312" w:hAnsi="仿宋_GB2312" w:eastAsia="仿宋_GB2312" w:cs="仿宋_GB2312"/>
        </w:rPr>
        <w:t>家，从业人员8</w:t>
      </w:r>
      <w:r>
        <w:rPr>
          <w:rFonts w:hint="eastAsia" w:ascii="仿宋_GB2312" w:hAnsi="仿宋_GB2312" w:eastAsia="仿宋_GB2312" w:cs="仿宋_GB2312"/>
          <w:lang w:val="en-US" w:eastAsia="zh-CN"/>
        </w:rPr>
        <w:t>36</w:t>
      </w:r>
      <w:r>
        <w:rPr>
          <w:rFonts w:hint="eastAsia" w:ascii="仿宋_GB2312" w:hAnsi="仿宋_GB2312" w:eastAsia="仿宋_GB2312" w:cs="仿宋_GB2312"/>
        </w:rPr>
        <w:t>人，存贷款规模连续多年稳居揭东区银行业机构首位，是揭东区规模最大、营业网点最多、服务范围最广的地方性银行，是名副其实的区域农村金融主力军，是“揭东人民自己的银行”。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揭东农商银行坚持习近平新时代中国特色社会主义思想为指导，</w:t>
      </w:r>
      <w:r>
        <w:rPr>
          <w:rFonts w:hint="eastAsia" w:ascii="仿宋_GB2312" w:hAnsi="仿宋_GB2312" w:eastAsia="仿宋_GB2312" w:cs="仿宋_GB2312"/>
        </w:rPr>
        <w:t>认真贯彻落实中央会议部署要求，紧紧围绕“阳光、简单、一心为公”的文化主题，</w:t>
      </w:r>
      <w:r>
        <w:rPr>
          <w:rFonts w:hint="eastAsia" w:ascii="仿宋_GB2312" w:hAnsi="仿宋_GB2312" w:eastAsia="仿宋_GB2312" w:cs="仿宋_GB2312"/>
          <w:lang w:val="en-US" w:eastAsia="zh-CN"/>
        </w:rPr>
        <w:t>坚守支农支小定位</w:t>
      </w:r>
      <w:r>
        <w:rPr>
          <w:rFonts w:hint="eastAsia" w:ascii="仿宋_GB2312" w:hAnsi="仿宋_GB2312" w:eastAsia="仿宋_GB2312" w:cs="仿宋_GB2312"/>
        </w:rPr>
        <w:t>，深耕区域市场，大力发展科技金融、绿色金融、普惠金融、养老金融、数字金融等重点领域</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做实做细绿色金融大文章，积极践行绿色发展理念，全面落实绿色金融服务实体经济，真帮实干当好绿美揭东生态建设者，助力揭东经济高质量发展。</w:t>
      </w:r>
    </w:p>
    <w:p>
      <w:pPr>
        <w:pStyle w:val="4"/>
        <w:pageBreakBefore w:val="0"/>
        <w:widowControl/>
        <w:numPr>
          <w:ilvl w:val="1"/>
          <w:numId w:val="1"/>
        </w:numPr>
        <w:kinsoku/>
        <w:wordWrap/>
        <w:overflowPunct/>
        <w:topLinePunct w:val="0"/>
        <w:autoSpaceDE/>
        <w:autoSpaceDN/>
        <w:bidi w:val="0"/>
        <w:adjustRightInd/>
        <w:snapToGrid/>
        <w:spacing w:line="570" w:lineRule="exact"/>
        <w:ind w:left="0" w:firstLine="640" w:firstLineChars="200"/>
        <w:textAlignment w:val="auto"/>
      </w:pPr>
      <w:r>
        <w:rPr>
          <w:rFonts w:hint="eastAsia"/>
        </w:rPr>
        <w:t>绿色金融发展规划</w:t>
      </w:r>
      <w:r>
        <w:rPr>
          <w:rFonts w:hint="eastAsia"/>
          <w:lang w:eastAsia="zh-CN"/>
        </w:rPr>
        <w:t>。</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绿色发展愿景</w:t>
      </w:r>
      <w:r>
        <w:rPr>
          <w:rFonts w:hint="eastAsia" w:ascii="仿宋_GB2312" w:hAnsi="仿宋_GB2312" w:eastAsia="仿宋_GB2312" w:cs="仿宋_GB2312"/>
          <w:highlight w:val="none"/>
          <w:u w:color="auto"/>
        </w:rPr>
        <w:t>:</w:t>
      </w:r>
      <w:r>
        <w:rPr>
          <w:rFonts w:hint="eastAsia" w:ascii="仿宋_GB2312" w:hAnsi="仿宋_GB2312" w:eastAsia="仿宋_GB2312" w:cs="仿宋_GB2312"/>
          <w:highlight w:val="none"/>
        </w:rPr>
        <w:t>本行持续推动绿色金融业务高质量发展，加大对绿色经济、低碳经济、循环经济的支持，严控环境、安全生产违法违规企业贷款投放，保持绿色信贷规模持续增长。同时，以绿色金融、普惠金融融合发展为着力点，以绿色农业、林业、畜牧业清洁能源产业为突破口，积极探索符合行业发展需求的信贷产品，不断提高绿色金融服务质效。</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绿色金融战略规划</w:t>
      </w:r>
      <w:r>
        <w:rPr>
          <w:rFonts w:hint="eastAsia" w:ascii="仿宋_GB2312" w:hAnsi="仿宋_GB2312" w:eastAsia="仿宋_GB2312" w:cs="仿宋_GB2312"/>
          <w:highlight w:val="none"/>
          <w:u w:color="auto"/>
        </w:rPr>
        <w:t>:</w:t>
      </w:r>
      <w:r>
        <w:rPr>
          <w:rFonts w:hint="eastAsia" w:ascii="仿宋_GB2312" w:hAnsi="仿宋_GB2312" w:eastAsia="仿宋_GB2312" w:cs="仿宋_GB2312"/>
          <w:highlight w:val="none"/>
        </w:rPr>
        <w:t>本行以全面贯彻落实党中央国务院关于生态文明建设部署以及人民银行等七部委《关于构建绿色金融体系的指导意见》、中国人民银行揭阳市分行《关于推进揭阳市银行业绿色金融发展的指导意见》为指导，强化绿色发展意识，践行绿色发展理念，主动融入地方社会经济绿色发展、高质量发展大局，完善绿色信贷管理制度，推动绿色发展与市场化可持续相结合，实现绿色贷款的持续增长，支持绿色经济高质量发展。</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绿色发展路径</w:t>
      </w:r>
      <w:r>
        <w:rPr>
          <w:rFonts w:hint="eastAsia" w:ascii="仿宋_GB2312" w:hAnsi="仿宋_GB2312" w:eastAsia="仿宋_GB2312" w:cs="仿宋_GB2312"/>
          <w:highlight w:val="none"/>
          <w:u w:color="auto"/>
        </w:rPr>
        <w:t>:</w:t>
      </w:r>
      <w:r>
        <w:rPr>
          <w:rFonts w:hint="eastAsia" w:ascii="仿宋_GB2312" w:hAnsi="仿宋_GB2312" w:eastAsia="仿宋_GB2312" w:cs="仿宋_GB2312"/>
          <w:highlight w:val="none"/>
        </w:rPr>
        <w:t>优化结构，创新发展。本行根据习近平总书记关于乡村振兴战略的重要论述，以“产业兴旺、生态宜居、乡风文明、治理有效、生活富裕”的总体要求，立足县域，服务“三农”、绿色生态普惠金融，积极探索新形势下乡村治理和金融助力地方“三农”工作新动力、新路径、新模式，通过加快绿色生态普惠金融体系建设。以优化绿色信贷结构为抓手，以创新绿色信贷产品和金融服务发展为动力，坚持“绿色信贷”导向进一步推动经济社会与资源环境协调发展。</w:t>
      </w:r>
    </w:p>
    <w:p>
      <w:pPr>
        <w:pStyle w:val="4"/>
        <w:keepNext/>
        <w:keepLines/>
        <w:pageBreakBefore w:val="0"/>
        <w:widowControl/>
        <w:numPr>
          <w:ilvl w:val="1"/>
          <w:numId w:val="1"/>
        </w:numPr>
        <w:kinsoku/>
        <w:wordWrap/>
        <w:overflowPunct/>
        <w:topLinePunct w:val="0"/>
        <w:autoSpaceDE/>
        <w:autoSpaceDN/>
        <w:bidi w:val="0"/>
        <w:adjustRightInd/>
        <w:snapToGrid/>
        <w:spacing w:line="570" w:lineRule="exact"/>
        <w:ind w:left="0" w:firstLine="640" w:firstLineChars="200"/>
        <w:textAlignment w:val="auto"/>
        <w:rPr>
          <w:highlight w:val="none"/>
        </w:rPr>
      </w:pPr>
      <w:r>
        <w:rPr>
          <w:rFonts w:hint="eastAsia"/>
          <w:highlight w:val="none"/>
        </w:rPr>
        <w:t>绿色金融发展成效</w:t>
      </w:r>
      <w:r>
        <w:rPr>
          <w:rFonts w:hint="eastAsia"/>
          <w:highlight w:val="none"/>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仿宋_GB2312" w:hAnsi="仿宋_GB2312" w:eastAsia="仿宋_GB2312" w:cs="仿宋_GB2312"/>
          <w:lang w:val="en-US" w:eastAsia="zh-CN"/>
        </w:rPr>
        <w:t>2024年，揭东农商银行积极谋划绿色金融各项工作，不断提升绿色金融服务能力。</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b/>
          <w:bCs/>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1.完善制度指引，优化信贷结构。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通过出台基本管理制度、年度信贷投放指引等，设立“绿色贷款”审批通道、配套绿色利率优惠等支持绿色贷款发展，明确绿色信贷重点支持、限制和禁止准入领域。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b/>
          <w:bCs/>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2.加强组织体系建设，提升绿色金融服务能力。</w:t>
      </w:r>
    </w:p>
    <w:p>
      <w:pPr>
        <w:pStyle w:val="2"/>
        <w:keepNext w:val="0"/>
        <w:keepLines w:val="0"/>
        <w:pageBreakBefore w:val="0"/>
        <w:widowControl/>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kern w:val="2"/>
          <w:sz w:val="32"/>
          <w:szCs w:val="20"/>
          <w:lang w:val="en-US" w:eastAsia="zh-CN" w:bidi="ar-SA"/>
        </w:rPr>
      </w:pPr>
      <w:r>
        <w:rPr>
          <w:rFonts w:hint="eastAsia" w:ascii="仿宋_GB2312" w:hAnsi="仿宋_GB2312" w:eastAsia="仿宋_GB2312" w:cs="仿宋_GB2312"/>
          <w:color w:val="auto"/>
          <w:kern w:val="2"/>
          <w:sz w:val="32"/>
          <w:szCs w:val="20"/>
          <w:lang w:val="en-US" w:eastAsia="zh-CN" w:bidi="ar-SA"/>
        </w:rPr>
        <w:t>成立“绿色金融管理中心”，明确绿色金融牵头部门和管理岗，推出“光伏贷”绿色信贷产品，将客户环境信用评价结果纳入授信各个环节，强化全流程风险管理。截至2024年末，本行绿色贷款余额2.44亿元，较年初增加0.24亿元，增幅10.91%。</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b/>
          <w:bCs/>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3.推进“户户通”工作，对接“百千万工程”。</w:t>
      </w:r>
    </w:p>
    <w:p>
      <w:pPr>
        <w:keepNext w:val="0"/>
        <w:keepLines w:val="0"/>
        <w:pageBreakBefore w:val="0"/>
        <w:widowControl/>
        <w:kinsoku/>
        <w:wordWrap/>
        <w:overflowPunct/>
        <w:topLinePunct w:val="0"/>
        <w:autoSpaceDE/>
        <w:autoSpaceDN/>
        <w:bidi w:val="0"/>
        <w:adjustRightInd w:val="0"/>
        <w:snapToGrid w:val="0"/>
        <w:spacing w:after="0" w:line="570" w:lineRule="exact"/>
        <w:ind w:lef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lang w:val="en-US" w:eastAsia="zh-CN"/>
        </w:rPr>
        <w:t>结合本地产业种类、客户群体等情况，积极开展“进园区、进厂区、进商区、进社区、进乡村、进田头”走访，全面加大对农产品稳产保供、渔业高质量发展、现代农业产业园区、生猪产业、农业基础设施、绿色信贷等重点领域的信贷投放力度，重点支持小微企业、农户和个体工商户的信贷需求，扩大制造业和工业企业贷款规模，为百千万工程提供金融助力。</w:t>
      </w:r>
      <w:r>
        <w:rPr>
          <w:rFonts w:hint="eastAsia" w:ascii="仿宋_GB2312" w:hAnsi="仿宋_GB2312" w:eastAsia="仿宋_GB2312" w:cs="仿宋_GB2312"/>
          <w:lang w:val="en-US" w:eastAsia="zh-CN"/>
        </w:rPr>
        <w:cr/>
      </w:r>
      <w:r>
        <w:rPr>
          <w:rFonts w:hint="eastAsia" w:ascii="仿宋_GB2312" w:hAnsi="仿宋_GB2312" w:eastAsia="仿宋_GB2312" w:cs="仿宋_GB2312"/>
          <w:b w:val="0"/>
          <w:bCs w:val="0"/>
          <w:kern w:val="2"/>
          <w:sz w:val="32"/>
          <w:szCs w:val="32"/>
          <w:highlight w:val="none"/>
          <w:lang w:val="en-US" w:eastAsia="zh-CN" w:bidi="ar"/>
        </w:rPr>
        <w:t xml:space="preserve">    </w:t>
      </w:r>
      <w:r>
        <w:rPr>
          <w:rFonts w:hint="eastAsia" w:ascii="仿宋_GB2312" w:hAnsi="仿宋_GB2312" w:eastAsia="仿宋_GB2312" w:cs="仿宋_GB2312"/>
          <w:b/>
          <w:bCs/>
          <w:kern w:val="2"/>
          <w:sz w:val="32"/>
          <w:szCs w:val="32"/>
          <w:highlight w:val="none"/>
          <w:lang w:val="en-US" w:eastAsia="zh-CN" w:bidi="ar"/>
        </w:rPr>
        <w:t>4.积极绿色运营，推广低碳理念。</w:t>
      </w:r>
    </w:p>
    <w:p>
      <w:pPr>
        <w:pStyle w:val="2"/>
        <w:keepNext w:val="0"/>
        <w:keepLines w:val="0"/>
        <w:pageBreakBefore w:val="0"/>
        <w:widowControl/>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kern w:val="2"/>
          <w:sz w:val="32"/>
          <w:szCs w:val="20"/>
          <w:lang w:val="en-US" w:eastAsia="zh-CN" w:bidi="ar-SA"/>
        </w:rPr>
      </w:pPr>
      <w:r>
        <w:rPr>
          <w:rFonts w:hint="eastAsia" w:ascii="仿宋_GB2312" w:hAnsi="仿宋_GB2312" w:eastAsia="仿宋_GB2312" w:cs="仿宋_GB2312"/>
          <w:color w:val="auto"/>
          <w:kern w:val="2"/>
          <w:sz w:val="32"/>
          <w:szCs w:val="20"/>
          <w:lang w:val="en-US" w:eastAsia="zh-CN" w:bidi="ar-SA"/>
        </w:rPr>
        <w:t>通过全面启动节电，节水等绿色办公管理工作，提高员工节约资源意识，降低碳排放量，建立“绿色办公、节能减排”的工作方式；通过不定期对总行办公大楼空调、电灯使用情况、设备设施、卫生保洁情况进行巡查，引导员工树立节能环保理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default" w:ascii="仿宋_GB2312" w:hAnsi="仿宋_GB2312" w:eastAsia="仿宋_GB2312" w:cs="仿宋_GB2312"/>
          <w:b/>
          <w:bCs/>
          <w:kern w:val="2"/>
          <w:sz w:val="32"/>
          <w:szCs w:val="32"/>
          <w:highlight w:val="none"/>
          <w:lang w:val="en-US" w:eastAsia="zh-CN" w:bidi="ar"/>
        </w:rPr>
      </w:pPr>
      <w:r>
        <w:rPr>
          <w:rFonts w:hint="eastAsia" w:ascii="仿宋_GB2312" w:hAnsi="仿宋_GB2312" w:eastAsia="仿宋_GB2312" w:cs="仿宋_GB2312"/>
          <w:b/>
          <w:bCs/>
          <w:kern w:val="2"/>
          <w:sz w:val="32"/>
          <w:szCs w:val="32"/>
          <w:highlight w:val="none"/>
          <w:lang w:val="en-US" w:eastAsia="zh-CN" w:bidi="ar"/>
        </w:rPr>
        <w:t>5.绿色点亮未来，环保全员同行。</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640" w:firstLineChars="200"/>
        <w:textAlignment w:val="auto"/>
      </w:pPr>
      <w:r>
        <w:rPr>
          <w:rFonts w:hint="eastAsia" w:ascii="仿宋_GB2312" w:hAnsi="仿宋_GB2312" w:eastAsia="仿宋_GB2312" w:cs="仿宋_GB2312"/>
          <w:lang w:val="en-US" w:eastAsia="zh-CN"/>
        </w:rPr>
        <w:t>通过积极发动全行干部职工参与文明创建工作、“绿美揭东共建设”植树活动、“一局一文明路”道路环境整治等公益活动，提高员工环保意识，履行社会责任，提升企业形象，为绿美揭东贡献力量。</w:t>
      </w:r>
    </w:p>
    <w:p>
      <w:pPr>
        <w:pStyle w:val="4"/>
        <w:keepNext/>
        <w:keepLines/>
        <w:pageBreakBefore w:val="0"/>
        <w:widowControl/>
        <w:numPr>
          <w:ilvl w:val="1"/>
          <w:numId w:val="1"/>
        </w:numPr>
        <w:kinsoku/>
        <w:wordWrap/>
        <w:overflowPunct/>
        <w:topLinePunct w:val="0"/>
        <w:autoSpaceDE/>
        <w:autoSpaceDN/>
        <w:bidi w:val="0"/>
        <w:adjustRightInd/>
        <w:snapToGrid/>
        <w:spacing w:line="570" w:lineRule="exact"/>
        <w:ind w:left="0" w:firstLine="640" w:firstLineChars="200"/>
        <w:textAlignment w:val="auto"/>
      </w:pPr>
      <w:r>
        <w:rPr>
          <w:rFonts w:hint="eastAsia"/>
        </w:rPr>
        <w:t>环境关键绩效</w:t>
      </w:r>
      <w:r>
        <w:rPr>
          <w:rFonts w:hint="eastAsia"/>
          <w:lang w:eastAsia="zh-CN"/>
        </w:rPr>
        <w:t>。</w:t>
      </w:r>
    </w:p>
    <w:p>
      <w:pPr>
        <w:pStyle w:val="7"/>
        <w:keepNext/>
        <w:keepLines w:val="0"/>
        <w:pageBreakBefore w:val="0"/>
        <w:widowControl/>
        <w:numPr>
          <w:ilvl w:val="0"/>
          <w:numId w:val="2"/>
        </w:numPr>
        <w:kinsoku/>
        <w:wordWrap/>
        <w:overflowPunct/>
        <w:topLinePunct w:val="0"/>
        <w:autoSpaceDE/>
        <w:autoSpaceDN/>
        <w:bidi w:val="0"/>
        <w:adjustRightInd/>
        <w:snapToGrid/>
        <w:spacing w:line="570" w:lineRule="exact"/>
        <w:ind w:left="0" w:firstLine="0"/>
        <w:jc w:val="center"/>
        <w:textAlignment w:val="auto"/>
        <w:rPr>
          <w:rFonts w:ascii="Times New Roman" w:hAnsi="Times New Roman" w:eastAsia="仿宋" w:cs="仿宋"/>
          <w:sz w:val="32"/>
          <w:szCs w:val="32"/>
        </w:rPr>
      </w:pPr>
      <w:r>
        <w:rPr>
          <w:rFonts w:hint="eastAsia" w:ascii="Times New Roman" w:hAnsi="Times New Roman" w:eastAsia="仿宋" w:cs="仿宋"/>
          <w:sz w:val="32"/>
          <w:szCs w:val="32"/>
        </w:rPr>
        <w:t>环境关键绩效</w:t>
      </w:r>
      <w:r>
        <w:rPr>
          <w:rStyle w:val="21"/>
          <w:rFonts w:ascii="宋体" w:hAnsi="宋体"/>
          <w:sz w:val="30"/>
          <w:szCs w:val="30"/>
        </w:rPr>
        <w:footnoteReference w:id="0"/>
      </w:r>
    </w:p>
    <w:tbl>
      <w:tblPr>
        <w:tblStyle w:val="18"/>
        <w:tblW w:w="527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375"/>
        <w:gridCol w:w="1470"/>
        <w:gridCol w:w="142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4" w:type="dxa"/>
            <w:tcBorders>
              <w:top w:val="single" w:color="92D050" w:sz="4" w:space="0"/>
              <w:left w:val="single" w:color="92D050" w:sz="4" w:space="0"/>
              <w:bottom w:val="single" w:color="92D050" w:sz="4" w:space="0"/>
              <w:right w:val="single" w:color="92D050" w:sz="4" w:space="0"/>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环境指标</w:t>
            </w:r>
          </w:p>
        </w:tc>
        <w:tc>
          <w:tcPr>
            <w:tcW w:w="3375" w:type="dxa"/>
            <w:tcBorders>
              <w:top w:val="single" w:color="92D050" w:sz="4" w:space="0"/>
              <w:left w:val="single" w:color="92D050" w:sz="4" w:space="0"/>
              <w:bottom w:val="single" w:color="92D050" w:sz="4" w:space="0"/>
              <w:right w:val="single" w:color="92D050" w:sz="4" w:space="0"/>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环境指标</w:t>
            </w:r>
          </w:p>
        </w:tc>
        <w:tc>
          <w:tcPr>
            <w:tcW w:w="1470" w:type="dxa"/>
            <w:tcBorders>
              <w:top w:val="single" w:color="92D050" w:sz="4" w:space="0"/>
              <w:left w:val="single" w:color="92D050" w:sz="4" w:space="0"/>
              <w:bottom w:val="single" w:color="92D050" w:sz="4" w:space="0"/>
              <w:right w:val="single" w:color="92D050" w:sz="4" w:space="0"/>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单位</w:t>
            </w:r>
          </w:p>
        </w:tc>
        <w:tc>
          <w:tcPr>
            <w:tcW w:w="1425" w:type="dxa"/>
            <w:tcBorders>
              <w:top w:val="single" w:color="92D050" w:sz="4" w:space="0"/>
              <w:left w:val="single" w:color="92D050" w:sz="4" w:space="0"/>
              <w:bottom w:val="single" w:color="92D050" w:sz="4" w:space="0"/>
              <w:right w:val="single" w:color="92D050" w:sz="4" w:space="0"/>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2024年</w:t>
            </w:r>
          </w:p>
        </w:tc>
        <w:tc>
          <w:tcPr>
            <w:tcW w:w="1320" w:type="dxa"/>
            <w:tcBorders>
              <w:top w:val="single" w:color="92D050" w:sz="4" w:space="0"/>
              <w:left w:val="single" w:color="92D050" w:sz="4" w:space="0"/>
              <w:bottom w:val="single" w:color="92D050" w:sz="4" w:space="0"/>
              <w:right w:val="single" w:color="92D050" w:sz="4" w:space="0"/>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4" w:type="dxa"/>
            <w:vMerge w:val="restart"/>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绿色资产及减排情况</w:t>
            </w:r>
          </w:p>
        </w:tc>
        <w:tc>
          <w:tcPr>
            <w:tcW w:w="3375"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绿色信贷余额</w:t>
            </w:r>
          </w:p>
        </w:tc>
        <w:tc>
          <w:tcPr>
            <w:tcW w:w="1470"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万元</w:t>
            </w:r>
          </w:p>
        </w:tc>
        <w:tc>
          <w:tcPr>
            <w:tcW w:w="1425"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24394.73</w:t>
            </w:r>
          </w:p>
        </w:tc>
        <w:tc>
          <w:tcPr>
            <w:tcW w:w="1320"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22031.02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绿色资产及减排情况</w:t>
            </w:r>
          </w:p>
        </w:tc>
        <w:tc>
          <w:tcPr>
            <w:tcW w:w="33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绿色信贷余额占总贷款比重</w:t>
            </w:r>
          </w:p>
        </w:tc>
        <w:tc>
          <w:tcPr>
            <w:tcW w:w="147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w:t>
            </w:r>
          </w:p>
        </w:tc>
        <w:tc>
          <w:tcPr>
            <w:tcW w:w="142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2.23</w:t>
            </w:r>
          </w:p>
        </w:tc>
        <w:tc>
          <w:tcPr>
            <w:tcW w:w="13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开展碳减排效益测算的绿色资产余额</w:t>
            </w:r>
          </w:p>
        </w:tc>
        <w:tc>
          <w:tcPr>
            <w:tcW w:w="147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万元</w:t>
            </w:r>
          </w:p>
        </w:tc>
        <w:tc>
          <w:tcPr>
            <w:tcW w:w="142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21487.17</w:t>
            </w:r>
          </w:p>
        </w:tc>
        <w:tc>
          <w:tcPr>
            <w:tcW w:w="13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11090.25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开展碳减排测算的绿色资产占所有绿色资产的比重</w:t>
            </w:r>
          </w:p>
        </w:tc>
        <w:tc>
          <w:tcPr>
            <w:tcW w:w="147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w:t>
            </w:r>
          </w:p>
        </w:tc>
        <w:tc>
          <w:tcPr>
            <w:tcW w:w="142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88.08</w:t>
            </w:r>
          </w:p>
        </w:tc>
        <w:tc>
          <w:tcPr>
            <w:tcW w:w="13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绿色资产及减排情况</w:t>
            </w:r>
          </w:p>
        </w:tc>
        <w:tc>
          <w:tcPr>
            <w:tcW w:w="33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绿色资产碳减排量</w:t>
            </w:r>
          </w:p>
        </w:tc>
        <w:tc>
          <w:tcPr>
            <w:tcW w:w="147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吨二氧化碳</w:t>
            </w:r>
          </w:p>
        </w:tc>
        <w:tc>
          <w:tcPr>
            <w:tcW w:w="142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35983.19</w:t>
            </w:r>
          </w:p>
        </w:tc>
        <w:tc>
          <w:tcPr>
            <w:tcW w:w="13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26405.50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4" w:type="dxa"/>
            <w:vMerge w:val="restart"/>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非绿色资产碳排放情况（剔除绿色资产后的非绿资产的投融资活动）</w:t>
            </w:r>
          </w:p>
        </w:tc>
        <w:tc>
          <w:tcPr>
            <w:tcW w:w="33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非绿色信贷余额</w:t>
            </w:r>
          </w:p>
        </w:tc>
        <w:tc>
          <w:tcPr>
            <w:tcW w:w="147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万元</w:t>
            </w:r>
          </w:p>
        </w:tc>
        <w:tc>
          <w:tcPr>
            <w:tcW w:w="142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1069266.53</w:t>
            </w:r>
          </w:p>
        </w:tc>
        <w:tc>
          <w:tcPr>
            <w:tcW w:w="13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968775.6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非绿色信贷对公客户贷款余额</w:t>
            </w:r>
          </w:p>
        </w:tc>
        <w:tc>
          <w:tcPr>
            <w:tcW w:w="147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万元</w:t>
            </w:r>
          </w:p>
        </w:tc>
        <w:tc>
          <w:tcPr>
            <w:tcW w:w="142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507244.69</w:t>
            </w:r>
          </w:p>
        </w:tc>
        <w:tc>
          <w:tcPr>
            <w:tcW w:w="13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446387.47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开展碳排放量核算的对公户贷款余额</w:t>
            </w:r>
          </w:p>
        </w:tc>
        <w:tc>
          <w:tcPr>
            <w:tcW w:w="147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万元</w:t>
            </w:r>
          </w:p>
        </w:tc>
        <w:tc>
          <w:tcPr>
            <w:tcW w:w="142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392095.45</w:t>
            </w:r>
          </w:p>
        </w:tc>
        <w:tc>
          <w:tcPr>
            <w:tcW w:w="13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250581.42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开展碳排放核算的贷款占对公贷款余额的比重</w:t>
            </w:r>
          </w:p>
        </w:tc>
        <w:tc>
          <w:tcPr>
            <w:tcW w:w="147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w:t>
            </w:r>
          </w:p>
        </w:tc>
        <w:tc>
          <w:tcPr>
            <w:tcW w:w="142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77.30%</w:t>
            </w:r>
          </w:p>
        </w:tc>
        <w:tc>
          <w:tcPr>
            <w:tcW w:w="13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开展碳排放核算的贷款占总贷款余额的比重</w:t>
            </w:r>
          </w:p>
        </w:tc>
        <w:tc>
          <w:tcPr>
            <w:tcW w:w="147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w:t>
            </w:r>
          </w:p>
        </w:tc>
        <w:tc>
          <w:tcPr>
            <w:tcW w:w="142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36.67%</w:t>
            </w:r>
          </w:p>
        </w:tc>
        <w:tc>
          <w:tcPr>
            <w:tcW w:w="13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94" w:type="dxa"/>
            <w:vMerge w:val="restart"/>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绿色办公</w:t>
            </w:r>
          </w:p>
        </w:tc>
        <w:tc>
          <w:tcPr>
            <w:tcW w:w="33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包括总行及总行营业部在内的所有营业网点数量</w:t>
            </w:r>
          </w:p>
        </w:tc>
        <w:tc>
          <w:tcPr>
            <w:tcW w:w="147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个</w:t>
            </w:r>
          </w:p>
        </w:tc>
        <w:tc>
          <w:tcPr>
            <w:tcW w:w="142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84</w:t>
            </w:r>
          </w:p>
        </w:tc>
        <w:tc>
          <w:tcPr>
            <w:tcW w:w="13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经营活动碳排放核算</w:t>
            </w:r>
          </w:p>
        </w:tc>
        <w:tc>
          <w:tcPr>
            <w:tcW w:w="147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吨二氧化碳</w:t>
            </w:r>
          </w:p>
        </w:tc>
        <w:tc>
          <w:tcPr>
            <w:tcW w:w="142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1661.03</w:t>
            </w:r>
          </w:p>
        </w:tc>
        <w:tc>
          <w:tcPr>
            <w:tcW w:w="13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1491.08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自由交通工具消耗汽油</w:t>
            </w:r>
          </w:p>
        </w:tc>
        <w:tc>
          <w:tcPr>
            <w:tcW w:w="147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升</w:t>
            </w:r>
          </w:p>
        </w:tc>
        <w:tc>
          <w:tcPr>
            <w:tcW w:w="142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31500</w:t>
            </w:r>
          </w:p>
        </w:tc>
        <w:tc>
          <w:tcPr>
            <w:tcW w:w="13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营业办公消耗电力</w:t>
            </w:r>
          </w:p>
        </w:tc>
        <w:tc>
          <w:tcPr>
            <w:tcW w:w="147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万kWh</w:t>
            </w:r>
          </w:p>
        </w:tc>
        <w:tc>
          <w:tcPr>
            <w:tcW w:w="142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300.94</w:t>
            </w:r>
          </w:p>
        </w:tc>
        <w:tc>
          <w:tcPr>
            <w:tcW w:w="13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94" w:type="dxa"/>
            <w:vMerge w:val="continue"/>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p>
        </w:tc>
        <w:tc>
          <w:tcPr>
            <w:tcW w:w="33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营业办公使用的纸张</w:t>
            </w:r>
          </w:p>
        </w:tc>
        <w:tc>
          <w:tcPr>
            <w:tcW w:w="147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万张</w:t>
            </w:r>
          </w:p>
        </w:tc>
        <w:tc>
          <w:tcPr>
            <w:tcW w:w="142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347.23</w:t>
            </w:r>
          </w:p>
        </w:tc>
        <w:tc>
          <w:tcPr>
            <w:tcW w:w="13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516.50</w:t>
            </w:r>
          </w:p>
        </w:tc>
      </w:tr>
    </w:tbl>
    <w:p>
      <w:pPr>
        <w:pStyle w:val="3"/>
        <w:keepNext/>
        <w:keepLines/>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pPr>
      <w:bookmarkStart w:id="5" w:name="_Toc28920"/>
      <w:r>
        <w:rPr>
          <w:rFonts w:hint="eastAsia"/>
          <w:lang w:val="en-US" w:eastAsia="zh-CN"/>
        </w:rPr>
        <w:t>二、</w:t>
      </w:r>
      <w:r>
        <w:rPr>
          <w:rFonts w:hint="eastAsia"/>
        </w:rPr>
        <w:t>环境相关治理结构</w:t>
      </w:r>
      <w:bookmarkEnd w:id="5"/>
    </w:p>
    <w:p>
      <w:pPr>
        <w:pStyle w:val="4"/>
        <w:keepNext/>
        <w:keepLines/>
        <w:pageBreakBefore w:val="0"/>
        <w:widowControl/>
        <w:numPr>
          <w:ilvl w:val="0"/>
          <w:numId w:val="3"/>
        </w:numPr>
        <w:kinsoku/>
        <w:wordWrap/>
        <w:overflowPunct/>
        <w:topLinePunct w:val="0"/>
        <w:autoSpaceDE/>
        <w:autoSpaceDN/>
        <w:bidi w:val="0"/>
        <w:adjustRightInd/>
        <w:snapToGrid/>
        <w:spacing w:line="570" w:lineRule="exact"/>
        <w:ind w:left="0" w:firstLine="640" w:firstLineChars="200"/>
        <w:textAlignment w:val="auto"/>
      </w:pPr>
      <w:r>
        <w:rPr>
          <w:rFonts w:hint="eastAsia"/>
        </w:rPr>
        <w:t>董事会层面</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本行董事会作为绿色金融管理的最高决策机构，推行节约、环保、可持续发展等绿色信贷理念，听取审议高级管理层提交的关于绿色信贷相关报告，负责环境信息披露。</w:t>
      </w:r>
    </w:p>
    <w:p>
      <w:pPr>
        <w:pStyle w:val="4"/>
        <w:pageBreakBefore w:val="0"/>
        <w:widowControl/>
        <w:numPr>
          <w:ilvl w:val="0"/>
          <w:numId w:val="3"/>
        </w:numPr>
        <w:kinsoku/>
        <w:wordWrap/>
        <w:overflowPunct/>
        <w:topLinePunct w:val="0"/>
        <w:autoSpaceDE/>
        <w:autoSpaceDN/>
        <w:bidi w:val="0"/>
        <w:adjustRightInd/>
        <w:snapToGrid/>
        <w:spacing w:line="570" w:lineRule="exact"/>
        <w:ind w:left="0" w:firstLine="640" w:firstLineChars="200"/>
        <w:textAlignment w:val="auto"/>
      </w:pPr>
      <w:r>
        <w:rPr>
          <w:rFonts w:hint="eastAsia"/>
        </w:rPr>
        <w:t>高级管理层</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经营管理层根据董事会的决定，在本行年度信贷投放指引中明确经营目标，明确职责和权限，积极支持绿色信贷投放，加大力度开展绿色金融工作，同时纳入分支机构年度考核方案进行考核。</w:t>
      </w:r>
    </w:p>
    <w:p>
      <w:pPr>
        <w:pStyle w:val="4"/>
        <w:pageBreakBefore w:val="0"/>
        <w:widowControl/>
        <w:numPr>
          <w:ilvl w:val="0"/>
          <w:numId w:val="3"/>
        </w:numPr>
        <w:kinsoku/>
        <w:wordWrap/>
        <w:overflowPunct/>
        <w:topLinePunct w:val="0"/>
        <w:autoSpaceDE/>
        <w:autoSpaceDN/>
        <w:bidi w:val="0"/>
        <w:adjustRightInd/>
        <w:snapToGrid/>
        <w:spacing w:line="570" w:lineRule="exact"/>
        <w:ind w:left="0" w:firstLine="640" w:firstLineChars="200"/>
        <w:textAlignment w:val="auto"/>
      </w:pPr>
      <w:r>
        <w:rPr>
          <w:rFonts w:hint="eastAsia"/>
        </w:rPr>
        <w:t>专门部门层面</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bookmarkStart w:id="6" w:name="_Toc15559"/>
      <w:r>
        <w:rPr>
          <w:rFonts w:hint="eastAsia" w:ascii="仿宋_GB2312" w:hAnsi="仿宋_GB2312" w:eastAsia="仿宋_GB2312" w:cs="仿宋_GB2312"/>
          <w:lang w:val="en-US" w:eastAsia="zh-CN"/>
        </w:rPr>
        <w:t>授信管理部：绿色信贷牵头部门，归口管理绿色金融各项工作。设立“绿色金融管理中心”，负责拟定绿色金融发展战略、制定绿色金融制度及考核体系、推进绿色金融产品开发、开展环境风险压力测试，向监管机构报送绿色信贷专项统计数据等。</w:t>
      </w:r>
      <w:r>
        <w:rPr>
          <w:rFonts w:hint="eastAsia" w:ascii="仿宋_GB2312" w:hAnsi="仿宋_GB2312" w:eastAsia="仿宋_GB2312" w:cs="仿宋_GB2312"/>
          <w:lang w:val="en-US" w:eastAsia="zh-CN"/>
        </w:rPr>
        <w:cr/>
      </w:r>
      <w:r>
        <w:rPr>
          <w:rFonts w:hint="eastAsia" w:ascii="仿宋_GB2312" w:hAnsi="仿宋_GB2312" w:eastAsia="仿宋_GB2312" w:cs="仿宋_GB2312"/>
          <w:lang w:val="en-US" w:eastAsia="zh-CN"/>
        </w:rPr>
        <w:t xml:space="preserve">    合规与风险管理部：加强绿色信贷相关合同评审，通过完善合同条款督促客户加强环境和社会风险管理等。</w:t>
      </w:r>
      <w:r>
        <w:rPr>
          <w:rFonts w:hint="eastAsia" w:ascii="仿宋_GB2312" w:hAnsi="仿宋_GB2312" w:eastAsia="仿宋_GB2312" w:cs="仿宋_GB2312"/>
          <w:lang w:val="en-US" w:eastAsia="zh-CN"/>
        </w:rPr>
        <w:cr/>
      </w:r>
      <w:r>
        <w:rPr>
          <w:rFonts w:hint="eastAsia" w:ascii="仿宋_GB2312" w:hAnsi="仿宋_GB2312" w:eastAsia="仿宋_GB2312" w:cs="仿宋_GB2312"/>
          <w:lang w:val="en-US" w:eastAsia="zh-CN"/>
        </w:rPr>
        <w:t xml:space="preserve">    分支机构：负责绿色信贷客户营销、授信需求收集、尽职调查、授信申请等。</w:t>
      </w:r>
    </w:p>
    <w:p>
      <w:pPr>
        <w:pStyle w:val="3"/>
        <w:pageBreakBefore w:val="0"/>
        <w:widowControl/>
        <w:numPr>
          <w:ilvl w:val="0"/>
          <w:numId w:val="0"/>
        </w:numPr>
        <w:kinsoku/>
        <w:wordWrap/>
        <w:overflowPunct/>
        <w:topLinePunct w:val="0"/>
        <w:autoSpaceDE/>
        <w:autoSpaceDN/>
        <w:bidi w:val="0"/>
        <w:adjustRightInd/>
        <w:snapToGrid/>
        <w:spacing w:line="570" w:lineRule="exact"/>
        <w:ind w:leftChars="200"/>
        <w:textAlignment w:val="auto"/>
      </w:pPr>
      <w:r>
        <w:rPr>
          <w:rFonts w:hint="eastAsia"/>
          <w:lang w:val="en-US" w:eastAsia="zh-CN"/>
        </w:rPr>
        <w:t>三、</w:t>
      </w:r>
      <w:r>
        <w:rPr>
          <w:rFonts w:hint="eastAsia"/>
        </w:rPr>
        <w:t>环境相关政策制度</w:t>
      </w:r>
      <w:bookmarkEnd w:id="6"/>
    </w:p>
    <w:p>
      <w:pPr>
        <w:pStyle w:val="4"/>
        <w:pageBreakBefore w:val="0"/>
        <w:widowControl/>
        <w:numPr>
          <w:ilvl w:val="0"/>
          <w:numId w:val="4"/>
        </w:numPr>
        <w:kinsoku/>
        <w:wordWrap/>
        <w:overflowPunct/>
        <w:topLinePunct w:val="0"/>
        <w:autoSpaceDE/>
        <w:autoSpaceDN/>
        <w:bidi w:val="0"/>
        <w:adjustRightInd/>
        <w:snapToGrid/>
        <w:spacing w:line="570" w:lineRule="exact"/>
        <w:ind w:left="0" w:firstLine="640" w:firstLineChars="200"/>
        <w:textAlignment w:val="auto"/>
      </w:pPr>
      <w:r>
        <w:rPr>
          <w:rFonts w:hint="eastAsia"/>
        </w:rPr>
        <w:t>实践、贯彻落实的区域制度</w:t>
      </w:r>
      <w:r>
        <w:rPr>
          <w:rFonts w:hint="eastAsia"/>
          <w:lang w:eastAsia="zh-CN"/>
        </w:rPr>
        <w:t>。</w:t>
      </w:r>
    </w:p>
    <w:p>
      <w:pPr>
        <w:pStyle w:val="7"/>
        <w:keepNext/>
        <w:numPr>
          <w:ilvl w:val="0"/>
          <w:numId w:val="2"/>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区域政策制度落实情况</w:t>
      </w:r>
    </w:p>
    <w:tbl>
      <w:tblPr>
        <w:tblStyle w:val="17"/>
        <w:tblW w:w="5458" w:type="pct"/>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1920"/>
        <w:gridCol w:w="1275"/>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22" w:type="dxa"/>
            <w:tcBorders>
              <w:top w:val="single" w:color="92D050" w:sz="4" w:space="0"/>
              <w:left w:val="single" w:color="92D050" w:sz="4" w:space="0"/>
              <w:bottom w:val="single" w:color="92D050" w:sz="4" w:space="0"/>
              <w:right w:val="single" w:color="92D050" w:sz="4" w:space="0"/>
            </w:tcBorders>
            <w:shd w:val="clear" w:color="auto" w:fill="9BBB59"/>
            <w:vAlign w:val="center"/>
          </w:tcPr>
          <w:p>
            <w:pPr>
              <w:spacing w:line="360" w:lineRule="auto"/>
              <w:jc w:val="center"/>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政策名称</w:t>
            </w:r>
          </w:p>
        </w:tc>
        <w:tc>
          <w:tcPr>
            <w:tcW w:w="1920" w:type="dxa"/>
            <w:tcBorders>
              <w:top w:val="single" w:color="92D050" w:sz="4" w:space="0"/>
              <w:left w:val="single" w:color="92D050" w:sz="4" w:space="0"/>
              <w:bottom w:val="single" w:color="92D050" w:sz="4" w:space="0"/>
              <w:right w:val="single" w:color="92D050" w:sz="4" w:space="0"/>
            </w:tcBorders>
            <w:shd w:val="clear" w:color="auto" w:fill="9BBB59"/>
            <w:vAlign w:val="center"/>
          </w:tcPr>
          <w:p>
            <w:pPr>
              <w:spacing w:line="360" w:lineRule="auto"/>
              <w:jc w:val="center"/>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颁发机构</w:t>
            </w:r>
          </w:p>
        </w:tc>
        <w:tc>
          <w:tcPr>
            <w:tcW w:w="1275" w:type="dxa"/>
            <w:tcBorders>
              <w:top w:val="single" w:color="92D050" w:sz="4" w:space="0"/>
              <w:left w:val="single" w:color="92D050" w:sz="4" w:space="0"/>
              <w:bottom w:val="single" w:color="92D050" w:sz="4" w:space="0"/>
              <w:right w:val="single" w:color="92D050" w:sz="4" w:space="0"/>
            </w:tcBorders>
            <w:shd w:val="clear" w:color="auto" w:fill="9BBB59"/>
            <w:vAlign w:val="center"/>
          </w:tcPr>
          <w:p>
            <w:pPr>
              <w:spacing w:line="360" w:lineRule="auto"/>
              <w:jc w:val="center"/>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发布年度</w:t>
            </w:r>
          </w:p>
        </w:tc>
        <w:tc>
          <w:tcPr>
            <w:tcW w:w="3887" w:type="dxa"/>
            <w:tcBorders>
              <w:top w:val="single" w:color="92D050" w:sz="4" w:space="0"/>
              <w:left w:val="single" w:color="92D050" w:sz="4" w:space="0"/>
              <w:bottom w:val="single" w:color="92D050" w:sz="4" w:space="0"/>
              <w:right w:val="single" w:color="92D050" w:sz="4" w:space="0"/>
            </w:tcBorders>
            <w:shd w:val="clear" w:color="auto" w:fill="9BBB59"/>
            <w:vAlign w:val="center"/>
          </w:tcPr>
          <w:p>
            <w:pPr>
              <w:spacing w:line="360" w:lineRule="auto"/>
              <w:jc w:val="center"/>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举措/解读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《绿色信贷指引》</w:t>
            </w:r>
          </w:p>
        </w:tc>
        <w:tc>
          <w:tcPr>
            <w:tcW w:w="1920"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原中国银行业监督管理委员会</w:t>
            </w:r>
          </w:p>
        </w:tc>
        <w:tc>
          <w:tcPr>
            <w:tcW w:w="1275"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2012</w:t>
            </w:r>
          </w:p>
        </w:tc>
        <w:tc>
          <w:tcPr>
            <w:tcW w:w="3887" w:type="dxa"/>
            <w:tcBorders>
              <w:top w:val="single" w:color="92D050" w:sz="4"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从组织管理、政策制度及能力建设、流程管理等方面对银行业金融机构的绿色信贷做出更加明确的引导。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《绿色信贷统计制度》</w:t>
            </w:r>
          </w:p>
        </w:tc>
        <w:tc>
          <w:tcPr>
            <w:tcW w:w="19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原中国银行业监督管理委员会</w:t>
            </w:r>
          </w:p>
        </w:tc>
        <w:tc>
          <w:tcPr>
            <w:tcW w:w="12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2013</w:t>
            </w:r>
          </w:p>
        </w:tc>
        <w:tc>
          <w:tcPr>
            <w:tcW w:w="3887"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要求银行机构对所涉及的环境安全重大风险企业贷款和节能环保项目及服务贷款进行统计。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《绿色信贷实施情况关键评价指标》</w:t>
            </w:r>
          </w:p>
        </w:tc>
        <w:tc>
          <w:tcPr>
            <w:tcW w:w="19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原中国银行业监督管理委员会</w:t>
            </w:r>
          </w:p>
        </w:tc>
        <w:tc>
          <w:tcPr>
            <w:tcW w:w="12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2014</w:t>
            </w:r>
          </w:p>
        </w:tc>
        <w:tc>
          <w:tcPr>
            <w:tcW w:w="3887"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绿色银行评级的依据和基础。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《关于构建绿色金融体系的指导意见》</w:t>
            </w:r>
          </w:p>
        </w:tc>
        <w:tc>
          <w:tcPr>
            <w:tcW w:w="19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中国人民银行等七部委</w:t>
            </w:r>
          </w:p>
        </w:tc>
        <w:tc>
          <w:tcPr>
            <w:tcW w:w="12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2016</w:t>
            </w:r>
          </w:p>
        </w:tc>
        <w:tc>
          <w:tcPr>
            <w:tcW w:w="3887"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提出了支持和鼓励绿色投融资的一系列激励措施，包括通过再贷款、专业化担保机制、 绿色信贷支持项目财政贴息、设立国家绿色发展基金等措施支持绿色金融发展。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《关于开展银行业存款类金融机构绿色信贷业绩评价的通知》</w:t>
            </w:r>
          </w:p>
        </w:tc>
        <w:tc>
          <w:tcPr>
            <w:tcW w:w="19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中国人民银行</w:t>
            </w:r>
          </w:p>
        </w:tc>
        <w:tc>
          <w:tcPr>
            <w:tcW w:w="12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2018</w:t>
            </w:r>
          </w:p>
        </w:tc>
        <w:tc>
          <w:tcPr>
            <w:tcW w:w="3887"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提升绿色金融支持高质量发展和绿色转型的能力，大力发展绿色信贷。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《银行业金融机构绿色金融评价方案》</w:t>
            </w:r>
          </w:p>
        </w:tc>
        <w:tc>
          <w:tcPr>
            <w:tcW w:w="19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中国人民银行</w:t>
            </w:r>
          </w:p>
        </w:tc>
        <w:tc>
          <w:tcPr>
            <w:tcW w:w="12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2021</w:t>
            </w:r>
          </w:p>
        </w:tc>
        <w:tc>
          <w:tcPr>
            <w:tcW w:w="3887"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中国人民银行为提升金融支持绿色低碳高质量发展的嫩合理，优化绿色金融激励约束机制。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《金融机构环境信息披露指南》</w:t>
            </w:r>
          </w:p>
        </w:tc>
        <w:tc>
          <w:tcPr>
            <w:tcW w:w="19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中国人民银行</w:t>
            </w:r>
          </w:p>
        </w:tc>
        <w:tc>
          <w:tcPr>
            <w:tcW w:w="12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2021</w:t>
            </w:r>
          </w:p>
        </w:tc>
        <w:tc>
          <w:tcPr>
            <w:tcW w:w="3887"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对金融机构环境信息披露形式、频次、应披露的定性及定量信息等方面提出要求，并根据各金融机构实际运营特点，对商业银行、资产管理、保险、信托等金融行业定量信息测算及依据提出指导意见。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《银行业保险业绿色金融指引》</w:t>
            </w:r>
          </w:p>
        </w:tc>
        <w:tc>
          <w:tcPr>
            <w:tcW w:w="1920"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原中国银行保险监督管理委员会</w:t>
            </w:r>
          </w:p>
        </w:tc>
        <w:tc>
          <w:tcPr>
            <w:tcW w:w="1275"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2022</w:t>
            </w:r>
          </w:p>
        </w:tc>
        <w:tc>
          <w:tcPr>
            <w:tcW w:w="3887" w:type="dxa"/>
            <w:tcBorders>
              <w:top w:val="single" w:color="9BBB59" w:sz="8" w:space="0"/>
              <w:left w:val="single" w:color="9BBB59" w:sz="8" w:space="0"/>
              <w:bottom w:val="single" w:color="9BBB59" w:sz="8" w:space="0"/>
              <w:right w:val="single" w:color="9BBB59"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为促进银行业保险业发展绿色金融，积极服务兼具环境和社会效益的各类经济活动，更好助力污染防治攻坚，有序推进碳达峰、碳中和工作。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22"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《关于推进广东银行业保险绿色金融发展的指导意见》</w:t>
            </w:r>
          </w:p>
        </w:tc>
        <w:tc>
          <w:tcPr>
            <w:tcW w:w="1920"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原中国银行保险监督管理委员会</w:t>
            </w:r>
          </w:p>
        </w:tc>
        <w:tc>
          <w:tcPr>
            <w:tcW w:w="1275"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2022</w:t>
            </w:r>
          </w:p>
        </w:tc>
        <w:tc>
          <w:tcPr>
            <w:tcW w:w="3887" w:type="dxa"/>
            <w:tcBorders>
              <w:top w:val="single" w:color="9BBB59" w:sz="8" w:space="0"/>
              <w:left w:val="single" w:color="9BBB59" w:sz="8" w:space="0"/>
              <w:bottom w:val="single" w:color="9BBB59" w:sz="8" w:space="0"/>
              <w:right w:val="single" w:color="9BBB59" w:sz="8" w:space="0"/>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对推进经济社会发展绿色发展转型、支持绿色低碳区域协调发展、提升绿色金融服务能力提出了指导意见。</w:t>
            </w:r>
          </w:p>
        </w:tc>
      </w:tr>
    </w:tbl>
    <w:p>
      <w:pPr>
        <w:pStyle w:val="4"/>
        <w:keepNext/>
        <w:keepLines/>
        <w:pageBreakBefore w:val="0"/>
        <w:widowControl/>
        <w:numPr>
          <w:ilvl w:val="0"/>
          <w:numId w:val="4"/>
        </w:numPr>
        <w:kinsoku/>
        <w:wordWrap/>
        <w:overflowPunct/>
        <w:topLinePunct w:val="0"/>
        <w:autoSpaceDE/>
        <w:autoSpaceDN/>
        <w:bidi w:val="0"/>
        <w:adjustRightInd/>
        <w:snapToGrid/>
        <w:spacing w:line="570" w:lineRule="exact"/>
        <w:ind w:left="0" w:firstLine="640" w:firstLineChars="200"/>
        <w:textAlignment w:val="auto"/>
      </w:pPr>
      <w:r>
        <w:rPr>
          <w:rFonts w:hint="eastAsia"/>
        </w:rPr>
        <w:t>外部组织制度践行情况</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bookmarkStart w:id="7" w:name="_Toc26329"/>
      <w:r>
        <w:rPr>
          <w:rFonts w:hint="eastAsia" w:ascii="仿宋_GB2312" w:hAnsi="仿宋_GB2312" w:eastAsia="仿宋_GB2312" w:cs="仿宋_GB2312"/>
          <w:lang w:val="en-US" w:eastAsia="zh-CN"/>
        </w:rPr>
        <w:t xml:space="preserve">一是建立有利于绿色信贷创新的工作机制，对国家重点调控的限制类及有重大环境和社会风险的行业，实行有差别、动态的授信政策，使信贷支持项目能够符合绿色信贷要求。  </w:t>
      </w:r>
      <w:r>
        <w:rPr>
          <w:rFonts w:hint="eastAsia" w:ascii="仿宋_GB2312" w:hAnsi="仿宋_GB2312" w:eastAsia="仿宋_GB2312" w:cs="仿宋_GB2312"/>
          <w:lang w:val="en-US" w:eastAsia="zh-CN"/>
        </w:rPr>
        <w:cr/>
      </w:r>
      <w:r>
        <w:rPr>
          <w:rFonts w:hint="eastAsia" w:ascii="仿宋_GB2312" w:hAnsi="仿宋_GB2312" w:eastAsia="仿宋_GB2312" w:cs="仿宋_GB2312"/>
          <w:lang w:val="en-US" w:eastAsia="zh-CN"/>
        </w:rPr>
        <w:t xml:space="preserve">    二是严格把控贷款准入关，针对客户的环境和社会风险评估标准，建立信贷工作的“环保一票否决”制，对不符合环保政策的项目不发放贷款，并在贷款“三查”、贷款定价和经济资本分配等方面采取差别化的风险管理措施。</w:t>
      </w:r>
      <w:r>
        <w:rPr>
          <w:rFonts w:hint="eastAsia" w:ascii="仿宋_GB2312" w:hAnsi="仿宋_GB2312" w:eastAsia="仿宋_GB2312" w:cs="仿宋_GB2312"/>
          <w:lang w:val="en-US" w:eastAsia="zh-CN"/>
        </w:rPr>
        <w:cr/>
      </w:r>
      <w:r>
        <w:rPr>
          <w:rFonts w:hint="eastAsia" w:ascii="仿宋_GB2312" w:hAnsi="仿宋_GB2312" w:eastAsia="仿宋_GB2312" w:cs="仿宋_GB2312"/>
          <w:lang w:val="en-US" w:eastAsia="zh-CN"/>
        </w:rPr>
        <w:t xml:space="preserve">    三是在办理小企业特别是化工、印染、造纸、酿造等行业的小企业信贷业务时，必须进行生产技术流程的严格审查和现场勘查，认真查企业环保监测报告，不得擅自放宽贷款条件和市场准入标准。</w:t>
      </w:r>
    </w:p>
    <w:p>
      <w:pPr>
        <w:pStyle w:val="3"/>
        <w:pageBreakBefore w:val="0"/>
        <w:widowControl/>
        <w:numPr>
          <w:ilvl w:val="0"/>
          <w:numId w:val="0"/>
        </w:numPr>
        <w:kinsoku/>
        <w:wordWrap/>
        <w:overflowPunct/>
        <w:topLinePunct w:val="0"/>
        <w:autoSpaceDE/>
        <w:autoSpaceDN/>
        <w:bidi w:val="0"/>
        <w:adjustRightInd/>
        <w:snapToGrid/>
        <w:spacing w:line="570" w:lineRule="exact"/>
        <w:ind w:leftChars="200"/>
        <w:textAlignment w:val="auto"/>
      </w:pPr>
      <w:r>
        <w:rPr>
          <w:rFonts w:hint="eastAsia"/>
          <w:lang w:val="en-US" w:eastAsia="zh-CN"/>
        </w:rPr>
        <w:t>四、</w:t>
      </w:r>
      <w:r>
        <w:rPr>
          <w:rFonts w:hint="eastAsia"/>
        </w:rPr>
        <w:t>环境相关产品创新与研究成果</w:t>
      </w:r>
      <w:bookmarkEnd w:id="7"/>
    </w:p>
    <w:p>
      <w:pPr>
        <w:pStyle w:val="4"/>
        <w:pageBreakBefore w:val="0"/>
        <w:widowControl/>
        <w:numPr>
          <w:ilvl w:val="0"/>
          <w:numId w:val="5"/>
        </w:numPr>
        <w:kinsoku/>
        <w:wordWrap/>
        <w:overflowPunct/>
        <w:topLinePunct w:val="0"/>
        <w:autoSpaceDE/>
        <w:autoSpaceDN/>
        <w:bidi w:val="0"/>
        <w:adjustRightInd/>
        <w:snapToGrid/>
        <w:spacing w:line="570" w:lineRule="exact"/>
        <w:ind w:left="0" w:firstLine="640" w:firstLineChars="200"/>
        <w:textAlignment w:val="auto"/>
      </w:pPr>
      <w:r>
        <w:rPr>
          <w:rFonts w:hint="eastAsia"/>
        </w:rPr>
        <w:t>相关绿色产品创新、项目案例</w:t>
      </w:r>
      <w:r>
        <w:rPr>
          <w:rFonts w:hint="eastAsia"/>
          <w:lang w:eastAsia="zh-CN"/>
        </w:rPr>
        <w:t>。</w:t>
      </w:r>
    </w:p>
    <w:p>
      <w:pPr>
        <w:pageBreakBefore w:val="0"/>
        <w:widowControl/>
        <w:kinsoku/>
        <w:wordWrap/>
        <w:overflowPunct/>
        <w:topLinePunct w:val="0"/>
        <w:autoSpaceDE/>
        <w:autoSpaceDN/>
        <w:bidi w:val="0"/>
        <w:adjustRightInd/>
        <w:snapToGrid/>
        <w:spacing w:line="570" w:lineRule="exact"/>
        <w:ind w:firstLine="640" w:firstLineChars="200"/>
        <w:textAlignment w:val="auto"/>
        <w:rPr>
          <w:rFonts w:eastAsia="仿宋"/>
        </w:rPr>
      </w:pPr>
      <w:r>
        <w:rPr>
          <w:rFonts w:hint="eastAsia" w:eastAsia="仿宋"/>
        </w:rPr>
        <w:t>例：光伏贷</w:t>
      </w:r>
    </w:p>
    <w:p>
      <w:pPr>
        <w:pStyle w:val="29"/>
        <w:keepNext w:val="0"/>
        <w:keepLines w:val="0"/>
        <w:pageBreakBefore w:val="0"/>
        <w:widowControl/>
        <w:numPr>
          <w:ilvl w:val="0"/>
          <w:numId w:val="6"/>
        </w:numPr>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kern w:val="2"/>
          <w:sz w:val="32"/>
          <w:lang w:val="en-US" w:eastAsia="zh-CN" w:bidi="ar-SA"/>
        </w:rPr>
      </w:pPr>
      <w:bookmarkStart w:id="8" w:name="_Toc13718"/>
      <w:r>
        <w:rPr>
          <w:rFonts w:hint="eastAsia" w:ascii="仿宋_GB2312" w:hAnsi="仿宋_GB2312" w:eastAsia="仿宋_GB2312" w:cs="仿宋_GB2312"/>
          <w:kern w:val="2"/>
          <w:sz w:val="32"/>
          <w:lang w:val="en-US" w:eastAsia="zh-CN" w:bidi="ar-SA"/>
        </w:rPr>
        <w:t>产品介绍：“光伏贷”是本行向符合条件的个人或企业发放，用于购建光伏设备或项目，或支付已购建光伏设备或项目尾款产生的贷款产品。该产品具备贷款额度灵活、手续简便、期限长、还款方式多样等特点。</w:t>
      </w:r>
    </w:p>
    <w:p>
      <w:pPr>
        <w:pStyle w:val="29"/>
        <w:keepNext w:val="0"/>
        <w:keepLines w:val="0"/>
        <w:pageBreakBefore w:val="0"/>
        <w:widowControl/>
        <w:numPr>
          <w:ilvl w:val="0"/>
          <w:numId w:val="6"/>
        </w:numPr>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kern w:val="2"/>
          <w:sz w:val="32"/>
          <w:lang w:val="en-US" w:eastAsia="zh-CN" w:bidi="ar-SA"/>
        </w:rPr>
      </w:pPr>
      <w:r>
        <w:rPr>
          <w:rFonts w:hint="eastAsia" w:ascii="仿宋_GB2312" w:hAnsi="仿宋_GB2312" w:eastAsia="仿宋_GB2312" w:cs="仿宋_GB2312"/>
          <w:kern w:val="2"/>
          <w:sz w:val="32"/>
          <w:lang w:val="en-US" w:eastAsia="zh-CN" w:bidi="ar-SA"/>
        </w:rPr>
        <w:t>主要做法：客户揭阳市XX公司，注册成立于2017年8月，主要经营：金属制日用品制造、五金产品制造等。日常用电费用较多，为节省营业开支，客户通过周边朋友介绍计划筹建光伏项目，借助光伏发电节约运营费用，整体项目预计资金需求300多万元，但客户目前自有资金仅有200万元，尚有资金缺口100万元。本行业务员了解到相关情况后，迅速组织客户经理上门走访对接。通过实地调查、收集办贷资料，为客户提供融资授信光伏贷金额107万元，并在三个工作日内发放贷款，受到客户一致好评，同时切实解决客户融资难题。</w:t>
      </w:r>
    </w:p>
    <w:p>
      <w:pPr>
        <w:pStyle w:val="29"/>
        <w:keepNext w:val="0"/>
        <w:keepLines w:val="0"/>
        <w:pageBreakBefore w:val="0"/>
        <w:widowControl/>
        <w:numPr>
          <w:ilvl w:val="0"/>
          <w:numId w:val="6"/>
        </w:numPr>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kern w:val="2"/>
          <w:sz w:val="32"/>
          <w:lang w:val="en-US" w:eastAsia="zh-CN" w:bidi="ar-SA"/>
        </w:rPr>
      </w:pPr>
      <w:r>
        <w:rPr>
          <w:rFonts w:hint="eastAsia" w:ascii="仿宋_GB2312" w:hAnsi="仿宋_GB2312" w:eastAsia="仿宋_GB2312" w:cs="仿宋_GB2312"/>
          <w:kern w:val="2"/>
          <w:sz w:val="32"/>
          <w:lang w:val="en-US" w:eastAsia="zh-CN" w:bidi="ar-SA"/>
        </w:rPr>
        <w:t>主要成效：截至2024年末累计新增投放“光伏贷”44笔，金额3323.72万元。</w:t>
      </w:r>
    </w:p>
    <w:p>
      <w:pPr>
        <w:pStyle w:val="29"/>
        <w:keepNext w:val="0"/>
        <w:keepLines w:val="0"/>
        <w:pageBreakBefore w:val="0"/>
        <w:widowControl/>
        <w:numPr>
          <w:ilvl w:val="0"/>
          <w:numId w:val="6"/>
        </w:numPr>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kern w:val="2"/>
          <w:sz w:val="32"/>
          <w:lang w:val="en-US" w:eastAsia="zh-CN" w:bidi="ar-SA"/>
        </w:rPr>
      </w:pPr>
      <w:r>
        <w:rPr>
          <w:rFonts w:hint="eastAsia" w:ascii="仿宋_GB2312" w:hAnsi="仿宋_GB2312" w:eastAsia="仿宋_GB2312" w:cs="仿宋_GB2312"/>
          <w:kern w:val="2"/>
          <w:sz w:val="32"/>
          <w:lang w:val="en-US" w:eastAsia="zh-CN" w:bidi="ar-SA"/>
        </w:rPr>
        <w:t>总结：通过借助光伏自身所带的“低碳、脱贫、普惠”属性，带动本行绿色金融、乡村振兴、小微、两增两控等指标的提升。本行将紧跟国家能源政策主导方向和趋势，加强光伏贷业务的推广，继续为当地农户及小微企业提供多样化业务方案。</w:t>
      </w:r>
    </w:p>
    <w:p>
      <w:pPr>
        <w:spacing w:line="360" w:lineRule="auto"/>
        <w:ind w:firstLine="640" w:firstLineChars="200"/>
        <w:jc w:val="center"/>
        <w:rPr>
          <w:rFonts w:eastAsia="仿宋"/>
        </w:rPr>
      </w:pPr>
      <w:r>
        <w:rPr>
          <w:rFonts w:hint="eastAsia" w:eastAsia="仿宋"/>
        </w:rPr>
        <w:drawing>
          <wp:inline distT="0" distB="0" distL="0" distR="0">
            <wp:extent cx="3007360" cy="3899535"/>
            <wp:effectExtent l="0" t="0" r="2540" b="5715"/>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3"/>
                    <a:stretch>
                      <a:fillRect/>
                    </a:stretch>
                  </pic:blipFill>
                  <pic:spPr>
                    <a:xfrm>
                      <a:off x="0" y="0"/>
                      <a:ext cx="3007360" cy="3899535"/>
                    </a:xfrm>
                    <a:prstGeom prst="rect">
                      <a:avLst/>
                    </a:prstGeom>
                  </pic:spPr>
                </pic:pic>
              </a:graphicData>
            </a:graphic>
          </wp:inline>
        </w:drawing>
      </w:r>
    </w:p>
    <w:p>
      <w:pPr>
        <w:spacing w:line="360" w:lineRule="auto"/>
        <w:jc w:val="center"/>
      </w:pPr>
      <w:r>
        <w:rPr>
          <w:rFonts w:hint="eastAsia" w:eastAsia="仿宋"/>
        </w:rPr>
        <w:t>图1. 产品简图</w:t>
      </w:r>
    </w:p>
    <w:p>
      <w:pPr>
        <w:keepNext w:val="0"/>
        <w:keepLines w:val="0"/>
        <w:pageBreakBefore w:val="0"/>
        <w:widowControl/>
        <w:numPr>
          <w:ilvl w:val="0"/>
          <w:numId w:val="7"/>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“零碳网点”——揭东农商银行缶灶分理处。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lang w:eastAsia="zh-CN"/>
        </w:rPr>
      </w:pPr>
      <w:r>
        <w:rPr>
          <w:rFonts w:hint="eastAsia" w:ascii="仿宋_GB2312" w:hAnsi="仿宋_GB2312" w:eastAsia="仿宋_GB2312" w:cs="仿宋_GB2312"/>
          <w:lang w:val="en-US" w:eastAsia="zh-CN"/>
        </w:rPr>
        <w:t>揭东农商银行缶灶分理处完成2022年1月1日至2023年12月31日碳排查，实际碳排放量为27.763吨二氧化碳当量，完成注销碳减排量50吨。经广州碳排放权交易中心认定，揭东农商银行缶灶分理处注销的碳减排量大于实际碳排放量，实现了碳中和，2024年5月22日取得广州碳排放权交易中心认证的《碳中和证书》。</w:t>
      </w:r>
    </w:p>
    <w:p>
      <w:pPr>
        <w:spacing w:line="570" w:lineRule="exact"/>
        <w:ind w:firstLine="640" w:firstLineChars="200"/>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主要做法：为贯彻落实国家碳达峰、碳中和战略部署，推动绿色金融工作有序推进，在</w:t>
      </w:r>
      <w:r>
        <w:rPr>
          <w:rFonts w:hint="eastAsia" w:ascii="仿宋_GB2312" w:eastAsia="仿宋_GB2312"/>
          <w:lang w:val="en-US" w:eastAsia="zh-CN"/>
        </w:rPr>
        <w:t>监管部门</w:t>
      </w:r>
      <w:r>
        <w:rPr>
          <w:rFonts w:hint="eastAsia" w:ascii="仿宋_GB2312" w:eastAsia="仿宋_GB2312"/>
        </w:rPr>
        <w:t>的指导下，本行大力发展绿色金融业务</w:t>
      </w:r>
      <w:r>
        <w:rPr>
          <w:rFonts w:hint="eastAsia" w:ascii="仿宋_GB2312" w:eastAsia="仿宋_GB2312"/>
          <w:lang w:eastAsia="zh-CN"/>
        </w:rPr>
        <w:t>，</w:t>
      </w:r>
      <w:r>
        <w:rPr>
          <w:rFonts w:hint="eastAsia" w:ascii="仿宋_GB2312" w:eastAsia="仿宋_GB2312"/>
          <w:lang w:val="en-US" w:eastAsia="zh-CN"/>
        </w:rPr>
        <w:t>并取得</w:t>
      </w:r>
      <w:r>
        <w:rPr>
          <w:rFonts w:hint="eastAsia" w:ascii="仿宋_GB2312" w:eastAsia="仿宋_GB2312"/>
        </w:rPr>
        <w:t>颁发广州碳排放权交易中心颁发的“碳中和”和“预先碳中和”证书，标志着揭东区首家金融机构双认证“零碳网点”诞生。本行积极响应国家号召，通过加强与广州碳排放权交易中心的合作，采纳专业机构的建议，对揭东农商银行缶灶分理处运营期间的电力、办公用品隐含排放、空调制冷剂逸散和员工通勤等尽兴碳排放核查、碳减排量注销，以实际行动落实碳达峰碳中和行动。</w:t>
      </w:r>
    </w:p>
    <w:p>
      <w:pPr>
        <w:spacing w:line="570" w:lineRule="exact"/>
        <w:ind w:firstLine="640" w:firstLineChars="200"/>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主要成效：经广州碳排放权交易中心认定，本行完成50t国家核证自愿减排量注销，其大于预估碳排放量28.098t，实现了预先碳中和，成为了揭东区首家获得双认证的零碳网点。</w:t>
      </w:r>
    </w:p>
    <w:p>
      <w:pPr>
        <w:spacing w:line="570" w:lineRule="exact"/>
        <w:ind w:firstLine="640" w:firstLineChars="200"/>
        <w:rPr>
          <w:rFonts w:hint="eastAsia" w:ascii="仿宋_GB2312" w:eastAsia="仿宋_GB2312"/>
        </w:rPr>
      </w:pPr>
      <w:r>
        <w:rPr>
          <w:rFonts w:hint="eastAsia" w:ascii="仿宋_GB2312" w:eastAsia="仿宋_GB2312"/>
        </w:rPr>
        <w:t>本行继续在</w:t>
      </w:r>
      <w:r>
        <w:rPr>
          <w:rFonts w:hint="eastAsia" w:ascii="仿宋_GB2312" w:eastAsia="仿宋_GB2312"/>
          <w:lang w:val="en-US" w:eastAsia="zh-CN"/>
        </w:rPr>
        <w:t>监管部门的</w:t>
      </w:r>
      <w:r>
        <w:rPr>
          <w:rFonts w:hint="eastAsia" w:ascii="仿宋_GB2312" w:eastAsia="仿宋_GB2312"/>
        </w:rPr>
        <w:t>政策指导和业务支持下，积极发挥地方金融机构作用，以身作则发展绿色金融，推动地方绿色经济发展。</w:t>
      </w:r>
    </w:p>
    <w:p>
      <w:pPr>
        <w:pStyle w:val="2"/>
        <w:rPr>
          <w:rFonts w:hint="eastAsia" w:eastAsia="仿宋"/>
        </w:rPr>
      </w:pPr>
      <w:r>
        <w:rPr>
          <w:rFonts w:hint="eastAsia" w:eastAsia="仿宋_GB2312"/>
          <w:lang w:val="en-US" w:eastAsia="zh-CN"/>
        </w:rPr>
        <w:t xml:space="preserve">         </w:t>
      </w:r>
      <w:r>
        <w:rPr>
          <w:rFonts w:hint="eastAsia" w:eastAsia="仿宋_GB2312"/>
          <w:lang w:eastAsia="zh-CN"/>
        </w:rPr>
        <w:drawing>
          <wp:inline distT="0" distB="0" distL="114300" distR="114300">
            <wp:extent cx="3263265" cy="4992370"/>
            <wp:effectExtent l="0" t="0" r="13335" b="17780"/>
            <wp:docPr id="5" name="图片 5" descr="IMG_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348"/>
                    <pic:cNvPicPr>
                      <a:picLocks noChangeAspect="1"/>
                    </pic:cNvPicPr>
                  </pic:nvPicPr>
                  <pic:blipFill>
                    <a:blip r:embed="rId14"/>
                    <a:stretch>
                      <a:fillRect/>
                    </a:stretch>
                  </pic:blipFill>
                  <pic:spPr>
                    <a:xfrm>
                      <a:off x="0" y="0"/>
                      <a:ext cx="3263265" cy="4992370"/>
                    </a:xfrm>
                    <a:prstGeom prst="rect">
                      <a:avLst/>
                    </a:prstGeom>
                  </pic:spPr>
                </pic:pic>
              </a:graphicData>
            </a:graphic>
          </wp:inline>
        </w:drawing>
      </w:r>
    </w:p>
    <w:p>
      <w:pPr>
        <w:pStyle w:val="2"/>
        <w:numPr>
          <w:ilvl w:val="0"/>
          <w:numId w:val="0"/>
        </w:numPr>
        <w:jc w:val="center"/>
        <w:rPr>
          <w:rFonts w:hint="eastAsia" w:ascii="Times New Roman" w:hAnsi="Times New Roman" w:eastAsia="仿宋" w:cs="Times New Roman"/>
          <w:color w:val="auto"/>
          <w:kern w:val="2"/>
          <w:sz w:val="32"/>
          <w:szCs w:val="20"/>
          <w:lang w:val="en-US" w:eastAsia="zh-CN" w:bidi="ar-SA"/>
        </w:rPr>
      </w:pPr>
      <w:r>
        <w:rPr>
          <w:rFonts w:hint="eastAsia" w:ascii="Times New Roman" w:hAnsi="Times New Roman" w:eastAsia="仿宋" w:cs="Times New Roman"/>
          <w:color w:val="auto"/>
          <w:kern w:val="2"/>
          <w:sz w:val="32"/>
          <w:szCs w:val="20"/>
          <w:lang w:val="en-US" w:eastAsia="zh-CN" w:bidi="ar-SA"/>
        </w:rPr>
        <w:t>图2 碳中和证书</w:t>
      </w:r>
    </w:p>
    <w:p>
      <w:pPr>
        <w:pStyle w:val="3"/>
        <w:pageBreakBefore w:val="0"/>
        <w:widowControl/>
        <w:numPr>
          <w:ilvl w:val="0"/>
          <w:numId w:val="0"/>
        </w:numPr>
        <w:kinsoku/>
        <w:wordWrap/>
        <w:overflowPunct/>
        <w:topLinePunct w:val="0"/>
        <w:autoSpaceDE/>
        <w:autoSpaceDN/>
        <w:bidi w:val="0"/>
        <w:adjustRightInd/>
        <w:snapToGrid/>
        <w:spacing w:line="570" w:lineRule="exact"/>
        <w:ind w:leftChars="200"/>
        <w:textAlignment w:val="auto"/>
      </w:pPr>
      <w:r>
        <w:rPr>
          <w:rFonts w:hint="eastAsia"/>
          <w:lang w:val="en-US" w:eastAsia="zh-CN"/>
        </w:rPr>
        <w:t>五、</w:t>
      </w:r>
      <w:r>
        <w:t>环境风险管理流程</w:t>
      </w:r>
      <w:bookmarkEnd w:id="8"/>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eastAsia="仿宋" w:cs="仿宋"/>
          <w:szCs w:val="32"/>
        </w:rPr>
      </w:pPr>
      <w:r>
        <w:rPr>
          <w:rFonts w:hint="eastAsia" w:eastAsia="仿宋" w:cs="仿宋"/>
          <w:szCs w:val="32"/>
        </w:rPr>
        <w:t>◎绿色信贷管理流程。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本行认真贯彻执行国家的法律、行政法规和各项方针政策，自觉遵守银行监管部门的有关规定，坚持依法合规经营，坚持安全性、流动性、效益性的原则，推进绿色信贷工作，实现信贷业务的可持续发展。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1.贷前调查环节。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受理客户贷款业务申请时，遵循双人调查、实地查看、真实反映的原则，收集客户生产及项目产生的耗能与行业环保合规信息。针对“两高一剩”行业、化工行业、养殖业等行业，特别是对贷款500万元以上客户的环境和社会风险进行动态收集相关信息和评估，列入贷款“三查”重点对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2.审查审批环节。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客户可能发生的环境和社会风险列入审查内容，严格遵循审贷分离、分级审批的贷款管理制度，对客户主体资格及出具的有关文件内容进行合法合规的审查，确保借贷活动的合法合规。严格执行环保审查审批程序，对存在重大环境或社会隐患的客户，坚决不予授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eastAsia="仿宋" w:cs="仿宋"/>
          <w:szCs w:val="32"/>
        </w:rPr>
      </w:pPr>
      <w:r>
        <w:rPr>
          <w:rFonts w:hint="eastAsia" w:ascii="仿宋_GB2312" w:hAnsi="仿宋_GB2312" w:eastAsia="仿宋_GB2312" w:cs="仿宋_GB2312"/>
          <w:lang w:val="en-US" w:eastAsia="zh-CN"/>
        </w:rPr>
        <w:t>3.贷后管理环节。</w:t>
      </w:r>
      <w:r>
        <w:rPr>
          <w:rFonts w:hint="eastAsia" w:ascii="仿宋_GB2312" w:hAnsi="仿宋_GB2312" w:eastAsia="仿宋_GB2312" w:cs="仿宋_GB2312"/>
          <w:lang w:val="en-US" w:eastAsia="zh-CN"/>
        </w:rPr>
        <w:cr/>
      </w:r>
      <w:r>
        <w:rPr>
          <w:rFonts w:hint="eastAsia" w:ascii="仿宋_GB2312" w:hAnsi="仿宋_GB2312" w:eastAsia="仿宋_GB2312" w:cs="仿宋_GB2312"/>
          <w:lang w:val="en-US" w:eastAsia="zh-CN"/>
        </w:rPr>
        <w:t xml:space="preserve">    将客户的环境与社会风险检查作为贷后检查必要环节之一，定期对存量贷款进行排查，掌握企业的环保信息情况，及时更新客户财务报告、证照材料、经营变化情况等信息。了解、掌握影响借款人偿还能力的变动情况，及时采取补救措施，确保信贷资金安全收回。</w:t>
      </w:r>
    </w:p>
    <w:p>
      <w:pPr>
        <w:pStyle w:val="3"/>
        <w:pageBreakBefore w:val="0"/>
        <w:widowControl/>
        <w:numPr>
          <w:ilvl w:val="0"/>
          <w:numId w:val="0"/>
        </w:numPr>
        <w:kinsoku/>
        <w:wordWrap/>
        <w:overflowPunct/>
        <w:topLinePunct w:val="0"/>
        <w:autoSpaceDE/>
        <w:autoSpaceDN/>
        <w:bidi w:val="0"/>
        <w:adjustRightInd/>
        <w:snapToGrid/>
        <w:spacing w:line="570" w:lineRule="exact"/>
        <w:ind w:leftChars="200"/>
        <w:textAlignment w:val="auto"/>
      </w:pPr>
      <w:bookmarkStart w:id="9" w:name="_Toc16947"/>
      <w:r>
        <w:rPr>
          <w:rFonts w:hint="eastAsia"/>
          <w:lang w:val="en-US" w:eastAsia="zh-CN"/>
        </w:rPr>
        <w:t>六、</w:t>
      </w:r>
      <w:r>
        <w:rPr>
          <w:rFonts w:hint="eastAsia"/>
        </w:rPr>
        <w:t>投融资活动对气候与环境产生的影响</w:t>
      </w:r>
      <w:bookmarkEnd w:id="9"/>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楷体" w:cs="Times New Roman"/>
          <w:bCs/>
          <w:kern w:val="2"/>
          <w:sz w:val="32"/>
          <w:szCs w:val="32"/>
          <w:lang w:val="en-US" w:eastAsia="zh-CN" w:bidi="ar-SA"/>
        </w:rPr>
      </w:pPr>
      <w:r>
        <w:rPr>
          <w:rFonts w:hint="eastAsia" w:ascii="Times New Roman" w:hAnsi="Times New Roman" w:eastAsia="楷体" w:cs="Times New Roman"/>
          <w:bCs/>
          <w:kern w:val="2"/>
          <w:sz w:val="32"/>
          <w:szCs w:val="32"/>
          <w:lang w:val="en-US" w:eastAsia="zh-CN" w:bidi="ar-SA"/>
        </w:rPr>
        <w:t>（一）投融资活动产生的环境效益。</w:t>
      </w:r>
    </w:p>
    <w:p>
      <w:pPr>
        <w:pStyle w:val="7"/>
        <w:keepNext/>
        <w:numPr>
          <w:ilvl w:val="0"/>
          <w:numId w:val="2"/>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投融资活动支持的环境效益情况</w:t>
      </w:r>
    </w:p>
    <w:tbl>
      <w:tblPr>
        <w:tblStyle w:val="17"/>
        <w:tblW w:w="4998" w:type="pct"/>
        <w:tblInd w:w="0" w:type="dxa"/>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autofit"/>
        <w:tblCellMar>
          <w:top w:w="0" w:type="dxa"/>
          <w:left w:w="108" w:type="dxa"/>
          <w:bottom w:w="0" w:type="dxa"/>
          <w:right w:w="108" w:type="dxa"/>
        </w:tblCellMar>
      </w:tblPr>
      <w:tblGrid>
        <w:gridCol w:w="3395"/>
        <w:gridCol w:w="3742"/>
        <w:gridCol w:w="1382"/>
      </w:tblGrid>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指标名称</w:t>
            </w:r>
          </w:p>
        </w:tc>
        <w:tc>
          <w:tcPr>
            <w:tcW w:w="2196" w:type="pct"/>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披露事项</w:t>
            </w:r>
          </w:p>
        </w:tc>
        <w:tc>
          <w:tcPr>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2024年</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restar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绿色贷款投向</w:t>
            </w:r>
          </w:p>
        </w:tc>
        <w:tc>
          <w:tcPr>
            <w:tcW w:w="219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节能环保产业（万元）</w:t>
            </w:r>
          </w:p>
        </w:tc>
        <w:tc>
          <w:tcPr>
            <w:tcW w:w="811"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7837.97</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p>
        </w:tc>
        <w:tc>
          <w:tcPr>
            <w:tcW w:w="219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清洁能源产业（万元）</w:t>
            </w:r>
          </w:p>
        </w:tc>
        <w:tc>
          <w:tcPr>
            <w:tcW w:w="81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3800</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p>
        </w:tc>
        <w:tc>
          <w:tcPr>
            <w:tcW w:w="219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生态环境产业（万元）</w:t>
            </w:r>
          </w:p>
        </w:tc>
        <w:tc>
          <w:tcPr>
            <w:tcW w:w="811"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1910</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折合减排情况</w:t>
            </w:r>
          </w:p>
        </w:tc>
        <w:tc>
          <w:tcPr>
            <w:tcW w:w="219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节约标煤量（吨）</w:t>
            </w:r>
          </w:p>
        </w:tc>
        <w:tc>
          <w:tcPr>
            <w:tcW w:w="81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65703.53</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节水量（吨）</w:t>
            </w:r>
          </w:p>
        </w:tc>
        <w:tc>
          <w:tcPr>
            <w:tcW w:w="811"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560311.09</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减排二氧化碳当量（吨）</w:t>
            </w:r>
          </w:p>
        </w:tc>
        <w:tc>
          <w:tcPr>
            <w:tcW w:w="81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35983.18</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减排二氧化硫量（吨）</w:t>
            </w:r>
          </w:p>
        </w:tc>
        <w:tc>
          <w:tcPr>
            <w:tcW w:w="811"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1266.6</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减排氮氧化物（吨）</w:t>
            </w:r>
          </w:p>
        </w:tc>
        <w:tc>
          <w:tcPr>
            <w:tcW w:w="81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178.43</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减排颗粒物（吨）</w:t>
            </w:r>
          </w:p>
        </w:tc>
        <w:tc>
          <w:tcPr>
            <w:tcW w:w="811"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0.11</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p>
        </w:tc>
        <w:tc>
          <w:tcPr>
            <w:tcW w:w="219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减排化学需氧量（吨）</w:t>
            </w:r>
          </w:p>
        </w:tc>
        <w:tc>
          <w:tcPr>
            <w:tcW w:w="81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23.37</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减排氨氮（吨）</w:t>
            </w:r>
          </w:p>
        </w:tc>
        <w:tc>
          <w:tcPr>
            <w:tcW w:w="811"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48.17</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减排总氮（吨）</w:t>
            </w:r>
          </w:p>
        </w:tc>
        <w:tc>
          <w:tcPr>
            <w:tcW w:w="811"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14.79</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1992" w:type="pct"/>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绿色贷款余额折合减排情况</w:t>
            </w:r>
          </w:p>
        </w:tc>
        <w:tc>
          <w:tcPr>
            <w:tcW w:w="219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减排总磷（吨）</w:t>
            </w:r>
          </w:p>
        </w:tc>
        <w:tc>
          <w:tcPr>
            <w:tcW w:w="811"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5.63</w:t>
            </w:r>
          </w:p>
        </w:tc>
      </w:tr>
    </w:tbl>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楷体" w:cs="Times New Roman"/>
          <w:bCs/>
          <w:kern w:val="2"/>
          <w:sz w:val="32"/>
          <w:szCs w:val="32"/>
          <w:lang w:val="en-US" w:eastAsia="zh-CN" w:bidi="ar-SA"/>
        </w:rPr>
      </w:pPr>
      <w:r>
        <w:rPr>
          <w:rFonts w:hint="eastAsia" w:ascii="Times New Roman" w:hAnsi="Times New Roman" w:eastAsia="楷体" w:cs="Times New Roman"/>
          <w:bCs/>
          <w:kern w:val="2"/>
          <w:sz w:val="32"/>
          <w:szCs w:val="32"/>
          <w:lang w:val="en-US" w:eastAsia="zh-CN" w:bidi="ar-SA"/>
        </w:rPr>
        <w:t>（</w:t>
      </w:r>
      <w:r>
        <w:rPr>
          <w:rFonts w:hint="eastAsia" w:eastAsia="楷体" w:cs="Times New Roman"/>
          <w:bCs/>
          <w:kern w:val="2"/>
          <w:sz w:val="32"/>
          <w:szCs w:val="32"/>
          <w:lang w:val="en-US" w:eastAsia="zh-CN" w:bidi="ar-SA"/>
        </w:rPr>
        <w:t>二</w:t>
      </w:r>
      <w:r>
        <w:rPr>
          <w:rFonts w:hint="eastAsia" w:ascii="Times New Roman" w:hAnsi="Times New Roman" w:eastAsia="楷体" w:cs="Times New Roman"/>
          <w:bCs/>
          <w:kern w:val="2"/>
          <w:sz w:val="32"/>
          <w:szCs w:val="32"/>
          <w:lang w:val="en-US" w:eastAsia="zh-CN" w:bidi="ar-SA"/>
        </w:rPr>
        <w:t>）投融资活动支持的温室气体排放。</w:t>
      </w:r>
    </w:p>
    <w:p>
      <w:pPr>
        <w:pStyle w:val="7"/>
        <w:keepNext/>
        <w:keepLines w:val="0"/>
        <w:pageBreakBefore w:val="0"/>
        <w:widowControl/>
        <w:numPr>
          <w:ilvl w:val="0"/>
          <w:numId w:val="2"/>
        </w:numPr>
        <w:kinsoku/>
        <w:wordWrap/>
        <w:overflowPunct/>
        <w:topLinePunct w:val="0"/>
        <w:autoSpaceDE/>
        <w:autoSpaceDN/>
        <w:bidi w:val="0"/>
        <w:adjustRightInd/>
        <w:snapToGrid/>
        <w:spacing w:line="570" w:lineRule="exact"/>
        <w:ind w:left="0" w:firstLine="0"/>
        <w:jc w:val="center"/>
        <w:textAlignment w:val="auto"/>
        <w:rPr>
          <w:rFonts w:ascii="Times New Roman" w:hAnsi="Times New Roman" w:eastAsia="仿宋" w:cs="仿宋"/>
          <w:sz w:val="32"/>
          <w:szCs w:val="32"/>
        </w:rPr>
      </w:pPr>
      <w:r>
        <w:rPr>
          <w:rFonts w:hint="eastAsia" w:ascii="Times New Roman" w:hAnsi="Times New Roman" w:eastAsia="仿宋" w:cs="仿宋"/>
          <w:sz w:val="32"/>
          <w:szCs w:val="32"/>
        </w:rPr>
        <w:t>投融资活动支持的温室气体排放情况</w:t>
      </w:r>
      <w:r>
        <w:rPr>
          <w:rStyle w:val="21"/>
          <w:rFonts w:ascii="宋体" w:hAnsi="宋体"/>
          <w:sz w:val="30"/>
          <w:szCs w:val="30"/>
        </w:rPr>
        <w:footnoteReference w:id="1"/>
      </w:r>
    </w:p>
    <w:tbl>
      <w:tblPr>
        <w:tblStyle w:val="17"/>
        <w:tblW w:w="5000" w:type="pct"/>
        <w:tblInd w:w="0" w:type="dxa"/>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autofit"/>
        <w:tblCellMar>
          <w:top w:w="0" w:type="dxa"/>
          <w:left w:w="108" w:type="dxa"/>
          <w:bottom w:w="0" w:type="dxa"/>
          <w:right w:w="108" w:type="dxa"/>
        </w:tblCellMar>
      </w:tblPr>
      <w:tblGrid>
        <w:gridCol w:w="3757"/>
        <w:gridCol w:w="3529"/>
        <w:gridCol w:w="1236"/>
      </w:tblGrid>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指标名称</w:t>
            </w:r>
          </w:p>
        </w:tc>
        <w:tc>
          <w:tcPr>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披露事项</w:t>
            </w:r>
          </w:p>
        </w:tc>
        <w:tc>
          <w:tcPr>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2024年</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vMerge w:val="restar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项目投融资活动产生的环境影响</w:t>
            </w:r>
          </w:p>
        </w:tc>
        <w:tc>
          <w:tcPr>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项目融资业务总余额（万元）</w:t>
            </w:r>
          </w:p>
        </w:tc>
        <w:tc>
          <w:tcPr>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171094.95</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项目投融资活动产生的环境影响</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项目融资业务总笔数（笔）</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127</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项目投融资活动产生的环境影响</w:t>
            </w:r>
          </w:p>
        </w:tc>
        <w:tc>
          <w:tcPr>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折合排放二氧化碳当量（吨）</w:t>
            </w:r>
          </w:p>
        </w:tc>
        <w:tc>
          <w:tcPr>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6212.13</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非项目投融资活动产生的环境影响</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非项目融资业务总余额（万元）</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299951.66</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vMerge w:val="continue"/>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非项目投融资活动产生的环境影响</w:t>
            </w:r>
          </w:p>
        </w:tc>
        <w:tc>
          <w:tcPr>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非项目融资业务总笔数（笔）</w:t>
            </w:r>
          </w:p>
        </w:tc>
        <w:tc>
          <w:tcPr>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682</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非项目投融资活动产生的环境影响</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折合排放二氧化碳当量（吨）</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14346.76</w:t>
            </w:r>
          </w:p>
        </w:tc>
      </w:tr>
    </w:tbl>
    <w:p>
      <w:pPr>
        <w:pStyle w:val="3"/>
        <w:keepNext/>
        <w:keepLines/>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pPr>
      <w:bookmarkStart w:id="10" w:name="_Toc21201"/>
      <w:r>
        <w:rPr>
          <w:rFonts w:hint="eastAsia"/>
          <w:lang w:val="en-US" w:eastAsia="zh-CN"/>
        </w:rPr>
        <w:t>七、</w:t>
      </w:r>
      <w:r>
        <w:rPr>
          <w:rFonts w:hint="eastAsia"/>
        </w:rPr>
        <w:t>经营活动对气候与环境的影响</w:t>
      </w:r>
      <w:bookmarkEnd w:id="10"/>
    </w:p>
    <w:p>
      <w:pPr>
        <w:pStyle w:val="4"/>
        <w:keepNext/>
        <w:keepLines/>
        <w:pageBreakBefore w:val="0"/>
        <w:widowControl/>
        <w:numPr>
          <w:ilvl w:val="0"/>
          <w:numId w:val="8"/>
        </w:numPr>
        <w:kinsoku/>
        <w:wordWrap/>
        <w:overflowPunct/>
        <w:topLinePunct w:val="0"/>
        <w:autoSpaceDE/>
        <w:autoSpaceDN/>
        <w:bidi w:val="0"/>
        <w:adjustRightInd/>
        <w:snapToGrid/>
        <w:spacing w:line="570" w:lineRule="exact"/>
        <w:ind w:left="0" w:firstLine="640" w:firstLineChars="200"/>
        <w:textAlignment w:val="auto"/>
      </w:pPr>
      <w:r>
        <w:rPr>
          <w:rFonts w:hint="eastAsia"/>
        </w:rPr>
        <w:t>经营活动产生的资源消耗</w:t>
      </w:r>
      <w:r>
        <w:rPr>
          <w:rFonts w:hint="eastAsia"/>
          <w:lang w:eastAsia="zh-CN"/>
        </w:rPr>
        <w:t>。</w:t>
      </w:r>
    </w:p>
    <w:p>
      <w:pPr>
        <w:pStyle w:val="7"/>
        <w:keepNext/>
        <w:keepLines w:val="0"/>
        <w:pageBreakBefore w:val="0"/>
        <w:widowControl/>
        <w:numPr>
          <w:ilvl w:val="0"/>
          <w:numId w:val="2"/>
        </w:numPr>
        <w:kinsoku/>
        <w:wordWrap/>
        <w:overflowPunct/>
        <w:topLinePunct w:val="0"/>
        <w:autoSpaceDE/>
        <w:autoSpaceDN/>
        <w:bidi w:val="0"/>
        <w:adjustRightInd/>
        <w:snapToGrid/>
        <w:spacing w:line="570" w:lineRule="exact"/>
        <w:ind w:left="0" w:firstLine="0"/>
        <w:jc w:val="center"/>
        <w:textAlignment w:val="auto"/>
        <w:rPr>
          <w:rFonts w:ascii="Times New Roman" w:hAnsi="Times New Roman" w:eastAsia="仿宋" w:cs="仿宋"/>
          <w:sz w:val="32"/>
          <w:szCs w:val="32"/>
        </w:rPr>
      </w:pPr>
      <w:r>
        <w:rPr>
          <w:rFonts w:hint="eastAsia" w:ascii="Times New Roman" w:hAnsi="Times New Roman" w:eastAsia="仿宋" w:cs="仿宋"/>
          <w:sz w:val="32"/>
          <w:szCs w:val="32"/>
        </w:rPr>
        <w:t>经营活动产生的资源消耗和温室气体排放</w:t>
      </w:r>
      <w:r>
        <w:rPr>
          <w:rStyle w:val="21"/>
          <w:rFonts w:ascii="宋体" w:hAnsi="宋体"/>
          <w:sz w:val="30"/>
          <w:szCs w:val="30"/>
        </w:rPr>
        <w:footnoteReference w:id="2"/>
      </w:r>
    </w:p>
    <w:tbl>
      <w:tblPr>
        <w:tblStyle w:val="17"/>
        <w:tblW w:w="5000" w:type="pct"/>
        <w:tblInd w:w="0" w:type="dxa"/>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autofit"/>
        <w:tblCellMar>
          <w:top w:w="0" w:type="dxa"/>
          <w:left w:w="108" w:type="dxa"/>
          <w:bottom w:w="0" w:type="dxa"/>
          <w:right w:w="108" w:type="dxa"/>
        </w:tblCellMar>
      </w:tblPr>
      <w:tblGrid>
        <w:gridCol w:w="3260"/>
        <w:gridCol w:w="2648"/>
        <w:gridCol w:w="1418"/>
        <w:gridCol w:w="1196"/>
      </w:tblGrid>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3242" w:type="dxa"/>
            <w:tcBorders>
              <w:tl2br w:val="nil"/>
              <w:tr2bl w:val="nil"/>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指标名称</w:t>
            </w:r>
          </w:p>
        </w:tc>
        <w:tc>
          <w:tcPr>
            <w:tcW w:w="2662" w:type="dxa"/>
            <w:tcBorders>
              <w:tl2br w:val="nil"/>
              <w:tr2bl w:val="nil"/>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披露事项</w:t>
            </w:r>
          </w:p>
        </w:tc>
        <w:tc>
          <w:tcPr>
            <w:tcW w:w="1420" w:type="dxa"/>
            <w:tcBorders>
              <w:tl2br w:val="nil"/>
              <w:tr2bl w:val="nil"/>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排放量(吨)</w:t>
            </w:r>
          </w:p>
        </w:tc>
        <w:tc>
          <w:tcPr>
            <w:tcW w:w="1198" w:type="dxa"/>
            <w:tcBorders>
              <w:tl2br w:val="nil"/>
              <w:tr2bl w:val="nil"/>
            </w:tcBorders>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人均（吨）</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3242" w:type="dxa"/>
            <w:vMerge w:val="restart"/>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直接温室气体排放（范围1）</w:t>
            </w:r>
          </w:p>
        </w:tc>
        <w:tc>
          <w:tcPr>
            <w:tcW w:w="2662"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自有交通运输工具消耗汽油</w:t>
            </w:r>
          </w:p>
        </w:tc>
        <w:tc>
          <w:tcPr>
            <w:tcW w:w="1420"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38.60</w:t>
            </w:r>
          </w:p>
        </w:tc>
        <w:tc>
          <w:tcPr>
            <w:tcW w:w="1198"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0.19</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3242"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直接温室气体排放（范围1）</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自有交通运输工具所消耗柴油</w:t>
            </w:r>
          </w:p>
        </w:tc>
        <w:tc>
          <w:tcPr>
            <w:tcW w:w="14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36.77</w:t>
            </w:r>
          </w:p>
        </w:tc>
        <w:tc>
          <w:tcPr>
            <w:tcW w:w="119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0.18</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3242" w:type="dxa"/>
            <w:vMerge w:val="continue"/>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p>
        </w:tc>
        <w:tc>
          <w:tcPr>
            <w:tcW w:w="2662"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仿宋" w:cs="仿宋"/>
                <w:color w:val="000000"/>
                <w:sz w:val="24"/>
                <w:szCs w:val="24"/>
                <w:lang w:val="en-US" w:eastAsia="zh-CN"/>
              </w:rPr>
            </w:pPr>
            <w:r>
              <w:rPr>
                <w:rFonts w:hint="eastAsia" w:eastAsia="仿宋" w:cs="仿宋"/>
                <w:color w:val="000000"/>
                <w:sz w:val="24"/>
                <w:szCs w:val="24"/>
                <w:lang w:val="en-US" w:eastAsia="zh-CN"/>
              </w:rPr>
              <w:t>营业办公所消耗天然气</w:t>
            </w:r>
          </w:p>
        </w:tc>
        <w:tc>
          <w:tcPr>
            <w:tcW w:w="1420"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4.11</w:t>
            </w:r>
          </w:p>
        </w:tc>
        <w:tc>
          <w:tcPr>
            <w:tcW w:w="1198"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0.02</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3242"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直接温室气体排放（范围1）</w:t>
            </w: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ascii="黑体" w:hAnsi="黑体" w:eastAsia="黑体" w:cs="黑体"/>
                <w:color w:val="000000"/>
                <w:sz w:val="24"/>
                <w:szCs w:val="24"/>
                <w:lang w:val="en-US" w:eastAsia="zh-CN"/>
              </w:rPr>
              <w:t>合计</w:t>
            </w:r>
          </w:p>
        </w:tc>
        <w:tc>
          <w:tcPr>
            <w:tcW w:w="14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79.48</w:t>
            </w:r>
          </w:p>
        </w:tc>
        <w:tc>
          <w:tcPr>
            <w:tcW w:w="119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0.39</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3242" w:type="dxa"/>
            <w:vMerge w:val="restart"/>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间接温室气体排放（范围2）</w:t>
            </w:r>
          </w:p>
        </w:tc>
        <w:tc>
          <w:tcPr>
            <w:tcW w:w="2662"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营业办公所消耗电力</w:t>
            </w:r>
          </w:p>
        </w:tc>
        <w:tc>
          <w:tcPr>
            <w:tcW w:w="1420"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1418.95</w:t>
            </w:r>
          </w:p>
        </w:tc>
        <w:tc>
          <w:tcPr>
            <w:tcW w:w="1198" w:type="dxa"/>
            <w:tcBorders>
              <w:tl2br w:val="nil"/>
              <w:tr2bl w:val="nil"/>
            </w:tcBorders>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6.82</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3242" w:type="dxa"/>
            <w:vMerge w:val="continue"/>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仿宋" w:cs="仿宋"/>
                <w:color w:val="000000"/>
                <w:sz w:val="24"/>
                <w:szCs w:val="24"/>
                <w:lang w:val="en-US" w:eastAsia="zh-CN"/>
              </w:rPr>
            </w:pPr>
          </w:p>
        </w:tc>
        <w:tc>
          <w:tcPr>
            <w:tcW w:w="266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ascii="黑体" w:hAnsi="黑体" w:eastAsia="黑体" w:cs="黑体"/>
                <w:color w:val="000000"/>
                <w:sz w:val="24"/>
                <w:szCs w:val="24"/>
                <w:lang w:val="en-US" w:eastAsia="zh-CN"/>
              </w:rPr>
              <w:t>合计</w:t>
            </w:r>
          </w:p>
        </w:tc>
        <w:tc>
          <w:tcPr>
            <w:tcW w:w="14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1418.95</w:t>
            </w:r>
          </w:p>
        </w:tc>
        <w:tc>
          <w:tcPr>
            <w:tcW w:w="1198"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6.82</w:t>
            </w:r>
          </w:p>
        </w:tc>
      </w:tr>
    </w:tbl>
    <w:p>
      <w:pPr>
        <w:pStyle w:val="4"/>
        <w:keepNext/>
        <w:pageBreakBefore w:val="0"/>
        <w:widowControl/>
        <w:numPr>
          <w:ilvl w:val="0"/>
          <w:numId w:val="8"/>
        </w:numPr>
        <w:kinsoku/>
        <w:wordWrap/>
        <w:overflowPunct/>
        <w:topLinePunct w:val="0"/>
        <w:autoSpaceDE/>
        <w:autoSpaceDN/>
        <w:bidi w:val="0"/>
        <w:adjustRightInd/>
        <w:snapToGrid/>
        <w:spacing w:line="570" w:lineRule="exact"/>
        <w:ind w:left="0" w:firstLine="640" w:firstLineChars="200"/>
        <w:textAlignment w:val="auto"/>
      </w:pPr>
      <w:r>
        <w:rPr>
          <w:rFonts w:hint="eastAsia"/>
        </w:rPr>
        <w:t>环保措施及成果</w:t>
      </w:r>
      <w:r>
        <w:rPr>
          <w:rFonts w:hint="eastAsia"/>
          <w:lang w:eastAsia="zh-CN"/>
        </w:rPr>
        <w:t>。</w:t>
      </w:r>
    </w:p>
    <w:p>
      <w:pPr>
        <w:pStyle w:val="7"/>
        <w:keepNext/>
        <w:pageBreakBefore w:val="0"/>
        <w:widowControl/>
        <w:numPr>
          <w:ilvl w:val="0"/>
          <w:numId w:val="2"/>
        </w:numPr>
        <w:kinsoku/>
        <w:wordWrap/>
        <w:overflowPunct/>
        <w:topLinePunct w:val="0"/>
        <w:autoSpaceDE/>
        <w:autoSpaceDN/>
        <w:bidi w:val="0"/>
        <w:adjustRightInd/>
        <w:snapToGrid/>
        <w:spacing w:line="570" w:lineRule="exact"/>
        <w:ind w:left="0" w:firstLine="0"/>
        <w:jc w:val="center"/>
        <w:textAlignment w:val="auto"/>
        <w:rPr>
          <w:rFonts w:ascii="Times New Roman" w:hAnsi="Times New Roman" w:eastAsia="仿宋" w:cs="仿宋"/>
          <w:sz w:val="32"/>
          <w:szCs w:val="32"/>
        </w:rPr>
      </w:pPr>
      <w:r>
        <w:rPr>
          <w:rFonts w:hint="eastAsia" w:ascii="Times New Roman" w:hAnsi="Times New Roman" w:eastAsia="仿宋" w:cs="仿宋"/>
          <w:sz w:val="32"/>
          <w:szCs w:val="32"/>
        </w:rPr>
        <w:t>环保措施管理情况</w:t>
      </w:r>
    </w:p>
    <w:tbl>
      <w:tblPr>
        <w:tblStyle w:val="17"/>
        <w:tblW w:w="5272" w:type="pct"/>
        <w:tblInd w:w="-293" w:type="dxa"/>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Layout w:type="autofit"/>
        <w:tblCellMar>
          <w:top w:w="0" w:type="dxa"/>
          <w:left w:w="108" w:type="dxa"/>
          <w:bottom w:w="0" w:type="dxa"/>
          <w:right w:w="108" w:type="dxa"/>
        </w:tblCellMar>
      </w:tblPr>
      <w:tblGrid>
        <w:gridCol w:w="1273"/>
        <w:gridCol w:w="1305"/>
        <w:gridCol w:w="6408"/>
      </w:tblGrid>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708" w:type="pct"/>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管理内容</w:t>
            </w:r>
          </w:p>
        </w:tc>
        <w:tc>
          <w:tcPr>
            <w:tcW w:w="726" w:type="pct"/>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管理措施</w:t>
            </w:r>
          </w:p>
        </w:tc>
        <w:tc>
          <w:tcPr>
            <w:tcW w:w="3565" w:type="pct"/>
            <w:shd w:val="clear" w:color="auto" w:fill="9BBB59"/>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FFFFFF"/>
                <w:sz w:val="24"/>
                <w:szCs w:val="24"/>
                <w:lang w:val="en-US" w:eastAsia="zh-CN"/>
              </w:rPr>
            </w:pPr>
            <w:r>
              <w:rPr>
                <w:rFonts w:hint="eastAsia" w:ascii="黑体" w:hAnsi="黑体" w:eastAsia="黑体" w:cs="黑体"/>
                <w:color w:val="FFFFFF"/>
                <w:sz w:val="24"/>
                <w:szCs w:val="24"/>
                <w:lang w:val="en-US" w:eastAsia="zh-CN"/>
              </w:rPr>
              <w:t>执行项目</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708" w:type="pct"/>
            <w:vMerge w:val="restar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节电管理</w:t>
            </w:r>
          </w:p>
        </w:tc>
        <w:tc>
          <w:tcPr>
            <w:tcW w:w="72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照明管理</w:t>
            </w:r>
          </w:p>
        </w:tc>
        <w:tc>
          <w:tcPr>
            <w:tcW w:w="3565"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使用节能灯具，禁用已淘汰高耗能照明设备，更换 LED 光源照明光管。</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708" w:type="pct"/>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节电管理</w:t>
            </w:r>
          </w:p>
        </w:tc>
        <w:tc>
          <w:tcPr>
            <w:tcW w:w="72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电源管理</w:t>
            </w:r>
          </w:p>
        </w:tc>
        <w:tc>
          <w:tcPr>
            <w:tcW w:w="356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下班时关闭电脑、空调、打印机、复印机等一切电器的电源开关，防止长时间待机耗能。</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708"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节水管理</w:t>
            </w:r>
          </w:p>
        </w:tc>
        <w:tc>
          <w:tcPr>
            <w:tcW w:w="72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节约用水</w:t>
            </w:r>
          </w:p>
        </w:tc>
        <w:tc>
          <w:tcPr>
            <w:tcW w:w="3565"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认真做好节水宣导及节水标识张贴工作，提醒 随手关闭、关紧水龙头。</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1085" w:hRule="atLeast"/>
        </w:trPr>
        <w:tc>
          <w:tcPr>
            <w:tcW w:w="70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节材管理</w:t>
            </w:r>
          </w:p>
        </w:tc>
        <w:tc>
          <w:tcPr>
            <w:tcW w:w="72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节约办公用品</w:t>
            </w:r>
          </w:p>
        </w:tc>
        <w:tc>
          <w:tcPr>
            <w:tcW w:w="356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按需购置、领用办公文具，提倡使用回形针、 燕尾夹，少使用胶水、修正液等含苯溶剂产品；节约用纸，打印前“预览”检查，避免重复打印，并提倡电子办公，使用单子渠道传送文件。</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708"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节油管理</w:t>
            </w:r>
          </w:p>
        </w:tc>
        <w:tc>
          <w:tcPr>
            <w:tcW w:w="726"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绿色出行</w:t>
            </w:r>
          </w:p>
        </w:tc>
        <w:tc>
          <w:tcPr>
            <w:tcW w:w="3565" w:type="pct"/>
            <w:shd w:val="clear" w:color="auto" w:fill="D7E3BC"/>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对公务用车遵循“经济使用、节约环保、保障 公务、节约使用”原则，加强公务车辆用油管理，定期做好车辆保养检修，试行线上预定申请、定点加油和维修，并鼓励员工乘坐公共交通工具或拼车等绿色出行方式，降低碳排放污染。</w:t>
            </w:r>
          </w:p>
        </w:tc>
      </w:tr>
      <w:tr>
        <w:tblPrEx>
          <w:tblBorders>
            <w:top w:val="single" w:color="92D050" w:sz="4" w:space="0"/>
            <w:left w:val="single" w:color="92D050" w:sz="4" w:space="0"/>
            <w:bottom w:val="single" w:color="92D050" w:sz="4" w:space="0"/>
            <w:right w:val="single" w:color="92D050" w:sz="4" w:space="0"/>
            <w:insideH w:val="single" w:color="92D050" w:sz="4" w:space="0"/>
            <w:insideV w:val="single" w:color="92D050" w:sz="4" w:space="0"/>
          </w:tblBorders>
          <w:tblCellMar>
            <w:top w:w="0" w:type="dxa"/>
            <w:left w:w="108" w:type="dxa"/>
            <w:bottom w:w="0" w:type="dxa"/>
            <w:right w:w="108" w:type="dxa"/>
          </w:tblCellMar>
        </w:tblPrEx>
        <w:trPr>
          <w:trHeight w:val="454" w:hRule="atLeast"/>
        </w:trPr>
        <w:tc>
          <w:tcPr>
            <w:tcW w:w="70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节粮管理</w:t>
            </w:r>
          </w:p>
        </w:tc>
        <w:tc>
          <w:tcPr>
            <w:tcW w:w="72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广泛宣传</w:t>
            </w:r>
          </w:p>
        </w:tc>
        <w:tc>
          <w:tcPr>
            <w:tcW w:w="356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本行食堂均上墙“光盘行动”等宣传画报，倡导形成绿色用餐的氛围，有效减少食物浪费。</w:t>
            </w:r>
          </w:p>
        </w:tc>
      </w:tr>
    </w:tbl>
    <w:p>
      <w:pPr>
        <w:pStyle w:val="3"/>
        <w:pageBreakBefore w:val="0"/>
        <w:widowControl/>
        <w:numPr>
          <w:ilvl w:val="0"/>
          <w:numId w:val="0"/>
        </w:numPr>
        <w:kinsoku/>
        <w:wordWrap/>
        <w:overflowPunct/>
        <w:topLinePunct w:val="0"/>
        <w:autoSpaceDE/>
        <w:autoSpaceDN/>
        <w:bidi w:val="0"/>
        <w:adjustRightInd/>
        <w:snapToGrid/>
        <w:spacing w:line="570" w:lineRule="exact"/>
        <w:ind w:left="640" w:leftChars="0"/>
        <w:textAlignment w:val="auto"/>
      </w:pPr>
      <w:bookmarkStart w:id="11" w:name="_Toc23238"/>
      <w:r>
        <w:rPr>
          <w:rFonts w:hint="eastAsia"/>
          <w:lang w:val="en-US" w:eastAsia="zh-CN"/>
        </w:rPr>
        <w:t>八、</w:t>
      </w:r>
      <w:r>
        <w:rPr>
          <w:rFonts w:hint="eastAsia"/>
        </w:rPr>
        <w:t>数据梳理校验及保护</w:t>
      </w:r>
      <w:bookmarkEnd w:id="11"/>
    </w:p>
    <w:p>
      <w:pPr>
        <w:pStyle w:val="4"/>
        <w:pageBreakBefore w:val="0"/>
        <w:widowControl/>
        <w:numPr>
          <w:ilvl w:val="0"/>
          <w:numId w:val="9"/>
        </w:numPr>
        <w:kinsoku/>
        <w:wordWrap/>
        <w:overflowPunct/>
        <w:topLinePunct w:val="0"/>
        <w:autoSpaceDE/>
        <w:autoSpaceDN/>
        <w:bidi w:val="0"/>
        <w:adjustRightInd/>
        <w:snapToGrid/>
        <w:spacing w:line="570" w:lineRule="exact"/>
        <w:ind w:left="0" w:firstLine="640" w:firstLineChars="200"/>
        <w:textAlignment w:val="auto"/>
      </w:pPr>
      <w:r>
        <w:rPr>
          <w:rFonts w:hint="eastAsia"/>
        </w:rPr>
        <w:t>数据梳理与校验</w:t>
      </w:r>
      <w:r>
        <w:rPr>
          <w:rFonts w:hint="eastAsia"/>
          <w:lang w:eastAsia="zh-CN"/>
        </w:rPr>
        <w:t>。</w:t>
      </w:r>
    </w:p>
    <w:p>
      <w:pPr>
        <w:pageBreakBefore w:val="0"/>
        <w:widowControl/>
        <w:kinsoku/>
        <w:wordWrap/>
        <w:overflowPunct/>
        <w:topLinePunct w:val="0"/>
        <w:autoSpaceDE/>
        <w:autoSpaceDN/>
        <w:bidi w:val="0"/>
        <w:adjustRightInd/>
        <w:snapToGrid/>
        <w:spacing w:line="570" w:lineRule="exact"/>
        <w:ind w:left="0" w:firstLine="640" w:firstLineChars="200"/>
        <w:textAlignment w:val="auto"/>
        <w:rPr>
          <w:rFonts w:hint="eastAsia" w:eastAsia="仿宋" w:cs="仿宋"/>
          <w:szCs w:val="32"/>
        </w:rPr>
      </w:pPr>
      <w:r>
        <w:rPr>
          <w:rFonts w:hint="eastAsia" w:ascii="仿宋_GB2312" w:hAnsi="仿宋_GB2312" w:eastAsia="仿宋_GB2312" w:cs="仿宋_GB2312"/>
          <w:lang w:val="en-US" w:eastAsia="zh-CN"/>
        </w:rPr>
        <w:t>定期对绿色信贷统计数据开展梳理校验进一步提升基础数据质量。一是建立内部机制，规范数据录入及复核机制，并将数据质量纳入本行内部控制考核范畴。二是落实部门职责，在授信管理部成立“绿色金融管理中心”，统筹开展全行绿色金融发展管理工作。三是系统搭建，在信贷管理系统中建立绿色信贷标识，支行客户经理严格按照绿色信贷标准录入，总行授信管理部专人把关，确保绿色信贷标识检验通过。四是加强统计管理，建立由计划财务部作为绿色金融统计牵头部门，授信管理部作为业务管理部门，各支行作为统计责任单位的联动机制，设定监测台账的统计和监测工作。</w:t>
      </w:r>
    </w:p>
    <w:p>
      <w:pPr>
        <w:pStyle w:val="4"/>
        <w:pageBreakBefore w:val="0"/>
        <w:widowControl/>
        <w:numPr>
          <w:ilvl w:val="0"/>
          <w:numId w:val="9"/>
        </w:numPr>
        <w:kinsoku/>
        <w:wordWrap/>
        <w:overflowPunct/>
        <w:topLinePunct w:val="0"/>
        <w:autoSpaceDE/>
        <w:autoSpaceDN/>
        <w:bidi w:val="0"/>
        <w:adjustRightInd/>
        <w:snapToGrid/>
        <w:spacing w:line="570" w:lineRule="exact"/>
        <w:ind w:left="0" w:firstLine="640" w:firstLineChars="200"/>
        <w:textAlignment w:val="auto"/>
      </w:pPr>
      <w:r>
        <w:rPr>
          <w:rFonts w:hint="eastAsia"/>
        </w:rPr>
        <w:t>数据安全与主体权益</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加强网络安全管理，实现了业务、办公网络与互联网之间的物理隔离；同时建立了桌面管理、防病毒管理、存储介质管理、补丁服务器等信息安全技术保障措施，确保行内网络、系统、终端的使用安全。</w:t>
      </w:r>
    </w:p>
    <w:p>
      <w:pPr>
        <w:pStyle w:val="4"/>
        <w:pageBreakBefore w:val="0"/>
        <w:widowControl/>
        <w:numPr>
          <w:ilvl w:val="0"/>
          <w:numId w:val="9"/>
        </w:numPr>
        <w:kinsoku/>
        <w:wordWrap/>
        <w:overflowPunct/>
        <w:topLinePunct w:val="0"/>
        <w:autoSpaceDE/>
        <w:autoSpaceDN/>
        <w:bidi w:val="0"/>
        <w:adjustRightInd/>
        <w:snapToGrid/>
        <w:spacing w:line="570" w:lineRule="exact"/>
        <w:ind w:left="0" w:firstLine="640" w:firstLineChars="200"/>
        <w:textAlignment w:val="auto"/>
      </w:pPr>
      <w:r>
        <w:rPr>
          <w:rFonts w:hint="eastAsia"/>
        </w:rPr>
        <w:t>应急预案</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bookmarkStart w:id="12" w:name="_Toc15849"/>
      <w:r>
        <w:rPr>
          <w:rFonts w:hint="eastAsia" w:ascii="仿宋_GB2312" w:hAnsi="仿宋_GB2312" w:eastAsia="仿宋_GB2312" w:cs="仿宋_GB2312"/>
          <w:lang w:val="en-US" w:eastAsia="zh-CN"/>
        </w:rPr>
        <w:t>本行建立由总行到支行的信息安全管理体系，其中总行设立有信息系统安全保护领导小组，辖内各支行、部成立信息系统应急领导小组，并下设办公室,统一负责各业务系统的应急协调与指挥和决策实施;同时，总行信息科技部定期或不定期组织应急预案的演练，确保应急预案的有效性和灾难发生时的可获取性。</w:t>
      </w:r>
    </w:p>
    <w:p>
      <w:pPr>
        <w:keepNext w:val="0"/>
        <w:keepLines w:val="0"/>
        <w:pageBreakBefore w:val="0"/>
        <w:widowControl/>
        <w:numPr>
          <w:ilvl w:val="0"/>
          <w:numId w:val="10"/>
        </w:numPr>
        <w:kinsoku/>
        <w:wordWrap/>
        <w:overflowPunct/>
        <w:topLinePunct w:val="0"/>
        <w:autoSpaceDE/>
        <w:autoSpaceDN/>
        <w:bidi w:val="0"/>
        <w:adjustRightInd/>
        <w:snapToGrid/>
        <w:spacing w:line="570" w:lineRule="exact"/>
        <w:ind w:firstLine="640" w:firstLineChars="200"/>
        <w:textAlignment w:val="auto"/>
        <w:outlineLvl w:val="0"/>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未来展望</w:t>
      </w:r>
      <w:bookmarkEnd w:id="12"/>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来，揭东农商银行将紧紧围绕高质量发展这个首要任务，健全公司治理体系，持续发展绿色金融，逐步丰富绿色金融产品，积极引导绿色金融投向重点低碳领域，落实碳达峰、碳中和战略部署，实现绿色金融扩面增效，助力地方绿色金融发展，为地方经济高质量发展贡献金融力量。</w:t>
      </w:r>
    </w:p>
    <w:p>
      <w:pPr>
        <w:pageBreakBefore w:val="0"/>
        <w:widowControl/>
        <w:kinsoku/>
        <w:wordWrap/>
        <w:overflowPunct/>
        <w:topLinePunct w:val="0"/>
        <w:autoSpaceDE/>
        <w:autoSpaceDN/>
        <w:bidi w:val="0"/>
        <w:adjustRightInd/>
        <w:snapToGrid/>
        <w:spacing w:line="570" w:lineRule="exact"/>
        <w:ind w:left="0" w:firstLine="640" w:firstLineChars="200"/>
        <w:textAlignment w:val="auto"/>
        <w:rPr>
          <w:rFonts w:hint="default" w:eastAsia="仿宋" w:cs="仿宋"/>
          <w:szCs w:val="32"/>
          <w:lang w:val="en-US" w:eastAsia="zh-CN"/>
        </w:rPr>
      </w:pPr>
    </w:p>
    <w:p>
      <w:pPr>
        <w:rPr>
          <w:rFonts w:hint="eastAsia"/>
        </w:rPr>
      </w:pPr>
      <w:bookmarkStart w:id="13" w:name="_Toc27179"/>
      <w:r>
        <w:rPr>
          <w:rFonts w:hint="eastAsia"/>
        </w:rPr>
        <w:br w:type="page"/>
      </w:r>
    </w:p>
    <w:p>
      <w:pPr>
        <w:pStyle w:val="3"/>
        <w:ind w:left="0" w:leftChars="0" w:firstLine="0" w:firstLineChars="0"/>
      </w:pPr>
      <w:r>
        <w:rPr>
          <w:rFonts w:hint="eastAsia"/>
        </w:rPr>
        <w:t>附录</w:t>
      </w:r>
      <w:r>
        <w:t xml:space="preserve">1 </w:t>
      </w:r>
      <w:r>
        <w:rPr>
          <w:rFonts w:hint="eastAsia"/>
        </w:rPr>
        <w:t>自身经营温室气体统计口径与测算表达</w:t>
      </w:r>
      <w:bookmarkEnd w:id="13"/>
    </w:p>
    <w:p>
      <w:pPr>
        <w:adjustRightInd w:val="0"/>
        <w:snapToGrid w:val="0"/>
        <w:spacing w:line="360" w:lineRule="auto"/>
        <w:ind w:firstLine="640" w:firstLineChars="200"/>
        <w:rPr>
          <w:rFonts w:ascii="仿宋" w:hAnsi="仿宋" w:eastAsia="仿宋" w:cs="仿宋"/>
          <w:color w:val="333333"/>
          <w:sz w:val="24"/>
          <w:shd w:val="clear" w:color="auto" w:fill="FFFFFF"/>
        </w:rPr>
      </w:pPr>
      <w:r>
        <w:rPr>
          <w:rFonts w:hint="eastAsia" w:eastAsia="仿宋" w:cs="仿宋"/>
          <w:szCs w:val="32"/>
        </w:rPr>
        <w:t>参照《IPCC国家温室气体清单指南》、国家发改委《企业温室气体排放核算方法与报告指南》及</w:t>
      </w:r>
      <w:r>
        <w:rPr>
          <w:rFonts w:hint="eastAsia" w:eastAsia="仿宋" w:cs="仿宋"/>
          <w:szCs w:val="32"/>
          <w:lang w:val="en-US" w:eastAsia="zh-CN"/>
        </w:rPr>
        <w:t>原</w:t>
      </w:r>
      <w:r>
        <w:rPr>
          <w:rFonts w:hint="eastAsia" w:eastAsia="仿宋" w:cs="仿宋"/>
          <w:szCs w:val="32"/>
        </w:rPr>
        <w:t>银保监会《绿色融资统计制度》（2020版）中的《绿色信贷项目节能减排量测算指引》（以下简称《指引》），采集我行自身经营活动消耗的各类能源活动数据，结合相应的二氧化碳排放系数，对本行经营活动产生的直接和间接温室气体排放量进行测算，测算公式如下：</w:t>
      </w:r>
    </w:p>
    <w:p>
      <w:pPr>
        <w:pStyle w:val="6"/>
        <w:ind w:left="320" w:firstLine="420"/>
        <w:jc w:val="center"/>
      </w:pPr>
      <w:r>
        <w:object>
          <v:shape id="_x0000_i1025" o:spt="75" type="#_x0000_t75" style="height:50.45pt;width:117.0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pPr>
        <w:widowControl w:val="0"/>
        <w:numPr>
          <w:ilvl w:val="0"/>
          <w:numId w:val="11"/>
        </w:numPr>
        <w:overflowPunct w:val="0"/>
        <w:adjustRightInd w:val="0"/>
        <w:snapToGrid w:val="0"/>
        <w:spacing w:line="360" w:lineRule="auto"/>
        <w:ind w:firstLine="640" w:firstLineChars="200"/>
        <w:jc w:val="left"/>
        <w:textAlignment w:val="baseline"/>
        <w:rPr>
          <w:rFonts w:eastAsia="仿宋" w:cs="仿宋"/>
          <w:szCs w:val="32"/>
        </w:rPr>
      </w:pPr>
      <w:r>
        <w:rPr>
          <w:rFonts w:eastAsia="仿宋" w:cs="仿宋"/>
          <w:szCs w:val="32"/>
        </w:rPr>
        <w:t>式中：</w:t>
      </w:r>
    </w:p>
    <w:p>
      <w:pPr>
        <w:pStyle w:val="15"/>
        <w:overflowPunct w:val="0"/>
        <w:adjustRightInd w:val="0"/>
        <w:snapToGrid w:val="0"/>
        <w:spacing w:beforeAutospacing="0" w:afterAutospacing="0" w:line="360" w:lineRule="auto"/>
        <w:ind w:firstLine="640" w:firstLineChars="200"/>
        <w:textAlignment w:val="baseline"/>
        <w:rPr>
          <w:rFonts w:ascii="Times New Roman" w:hAnsi="Times New Roman" w:eastAsia="仿宋" w:cs="仿宋"/>
          <w:kern w:val="2"/>
          <w:sz w:val="32"/>
          <w:szCs w:val="32"/>
        </w:rPr>
      </w:pPr>
      <w:r>
        <w:rPr>
          <w:rFonts w:hint="eastAsia" w:ascii="Times New Roman" w:hAnsi="Times New Roman" w:eastAsia="仿宋" w:cs="仿宋"/>
          <w:i/>
          <w:kern w:val="2"/>
          <w:sz w:val="32"/>
          <w:szCs w:val="32"/>
        </w:rPr>
        <w:t>CO</w:t>
      </w:r>
      <w:r>
        <w:rPr>
          <w:rFonts w:hint="eastAsia" w:ascii="Times New Roman" w:hAnsi="Times New Roman" w:eastAsia="仿宋" w:cs="仿宋"/>
          <w:i/>
          <w:kern w:val="2"/>
          <w:sz w:val="32"/>
          <w:szCs w:val="32"/>
          <w:vertAlign w:val="subscript"/>
        </w:rPr>
        <w:t>2</w:t>
      </w:r>
      <w:r>
        <w:rPr>
          <w:rFonts w:hint="eastAsia" w:ascii="Times New Roman" w:hAnsi="Times New Roman" w:eastAsia="仿宋" w:cs="仿宋"/>
          <w:kern w:val="2"/>
          <w:sz w:val="32"/>
          <w:szCs w:val="32"/>
        </w:rPr>
        <w:t>—</w:t>
      </w:r>
      <w:r>
        <w:rPr>
          <w:rFonts w:ascii="Times New Roman" w:hAnsi="Times New Roman" w:eastAsia="仿宋" w:cs="仿宋"/>
          <w:kern w:val="2"/>
          <w:sz w:val="32"/>
          <w:szCs w:val="32"/>
        </w:rPr>
        <w:t>项目二氧化碳</w:t>
      </w:r>
      <w:r>
        <w:rPr>
          <w:rFonts w:hint="eastAsia" w:ascii="Times New Roman" w:hAnsi="Times New Roman" w:eastAsia="仿宋" w:cs="仿宋"/>
          <w:kern w:val="2"/>
          <w:sz w:val="32"/>
          <w:szCs w:val="32"/>
        </w:rPr>
        <w:t>排放量</w:t>
      </w:r>
      <w:r>
        <w:rPr>
          <w:rFonts w:ascii="Times New Roman" w:hAnsi="Times New Roman" w:eastAsia="仿宋" w:cs="仿宋"/>
          <w:kern w:val="2"/>
          <w:sz w:val="32"/>
          <w:szCs w:val="32"/>
        </w:rPr>
        <w:t>，单位：吨二氧化碳；</w:t>
      </w:r>
    </w:p>
    <w:p>
      <w:pPr>
        <w:pStyle w:val="15"/>
        <w:overflowPunct w:val="0"/>
        <w:adjustRightInd w:val="0"/>
        <w:snapToGrid w:val="0"/>
        <w:spacing w:beforeAutospacing="0" w:afterAutospacing="0" w:line="360" w:lineRule="auto"/>
        <w:ind w:firstLine="640" w:firstLineChars="200"/>
        <w:textAlignment w:val="baseline"/>
        <w:rPr>
          <w:rFonts w:ascii="Times New Roman" w:hAnsi="Times New Roman" w:eastAsia="仿宋" w:cs="仿宋"/>
          <w:kern w:val="2"/>
          <w:sz w:val="32"/>
          <w:szCs w:val="32"/>
        </w:rPr>
      </w:pPr>
      <w:r>
        <w:rPr>
          <w:rFonts w:hint="eastAsia" w:ascii="Times New Roman" w:hAnsi="Times New Roman" w:eastAsia="仿宋" w:cs="仿宋"/>
          <w:i/>
          <w:kern w:val="2"/>
          <w:sz w:val="32"/>
          <w:szCs w:val="32"/>
        </w:rPr>
        <w:t>E</w:t>
      </w:r>
      <w:r>
        <w:rPr>
          <w:rFonts w:hint="eastAsia" w:ascii="Times New Roman" w:hAnsi="Times New Roman" w:eastAsia="仿宋" w:cs="仿宋"/>
          <w:i/>
          <w:kern w:val="2"/>
          <w:sz w:val="32"/>
          <w:szCs w:val="32"/>
          <w:vertAlign w:val="subscript"/>
        </w:rPr>
        <w:t>i</w:t>
      </w:r>
      <w:r>
        <w:rPr>
          <w:rFonts w:hint="eastAsia" w:ascii="Times New Roman" w:hAnsi="Times New Roman" w:eastAsia="仿宋" w:cs="仿宋"/>
          <w:kern w:val="2"/>
          <w:sz w:val="32"/>
          <w:szCs w:val="32"/>
        </w:rPr>
        <w:t>—</w:t>
      </w:r>
      <w:r>
        <w:rPr>
          <w:rFonts w:ascii="Times New Roman" w:hAnsi="Times New Roman" w:eastAsia="仿宋" w:cs="仿宋"/>
          <w:kern w:val="2"/>
          <w:sz w:val="32"/>
          <w:szCs w:val="32"/>
        </w:rPr>
        <w:t>项目某能源消费品种的</w:t>
      </w:r>
      <w:r>
        <w:rPr>
          <w:rFonts w:hint="eastAsia" w:ascii="Times New Roman" w:hAnsi="Times New Roman" w:eastAsia="仿宋" w:cs="仿宋"/>
          <w:kern w:val="2"/>
          <w:sz w:val="32"/>
          <w:szCs w:val="32"/>
        </w:rPr>
        <w:t>使用</w:t>
      </w:r>
      <w:r>
        <w:rPr>
          <w:rFonts w:ascii="Times New Roman" w:hAnsi="Times New Roman" w:eastAsia="仿宋" w:cs="仿宋"/>
          <w:kern w:val="2"/>
          <w:sz w:val="32"/>
          <w:szCs w:val="32"/>
        </w:rPr>
        <w:t>量，单位：吨（或兆瓦时或万立方米等）；</w:t>
      </w:r>
    </w:p>
    <w:p>
      <w:pPr>
        <w:pStyle w:val="15"/>
        <w:overflowPunct w:val="0"/>
        <w:adjustRightInd w:val="0"/>
        <w:snapToGrid w:val="0"/>
        <w:spacing w:beforeAutospacing="0" w:afterAutospacing="0" w:line="360" w:lineRule="auto"/>
        <w:ind w:firstLine="640" w:firstLineChars="200"/>
        <w:textAlignment w:val="baseline"/>
        <w:rPr>
          <w:rFonts w:ascii="Times New Roman" w:hAnsi="Times New Roman" w:eastAsia="仿宋" w:cs="仿宋"/>
          <w:kern w:val="2"/>
          <w:sz w:val="32"/>
          <w:szCs w:val="32"/>
        </w:rPr>
      </w:pPr>
      <w:r>
        <w:rPr>
          <w:rFonts w:ascii="Times New Roman" w:hAnsi="Times New Roman" w:eastAsia="仿宋"/>
          <w:i/>
          <w:kern w:val="2"/>
          <w:sz w:val="32"/>
          <w:szCs w:val="32"/>
        </w:rPr>
        <w:t>α</w:t>
      </w:r>
      <w:r>
        <w:rPr>
          <w:rFonts w:hint="eastAsia" w:ascii="Times New Roman" w:hAnsi="Times New Roman" w:eastAsia="仿宋" w:cs="仿宋"/>
          <w:kern w:val="2"/>
          <w:sz w:val="32"/>
          <w:szCs w:val="32"/>
          <w:vertAlign w:val="subscript"/>
        </w:rPr>
        <w:t>i</w:t>
      </w:r>
      <w:r>
        <w:rPr>
          <w:rFonts w:hint="eastAsia" w:ascii="Times New Roman" w:hAnsi="Times New Roman" w:eastAsia="仿宋" w:cs="仿宋"/>
          <w:kern w:val="2"/>
          <w:sz w:val="32"/>
          <w:szCs w:val="32"/>
        </w:rPr>
        <w:t>—</w:t>
      </w:r>
      <w:r>
        <w:rPr>
          <w:rFonts w:ascii="Times New Roman" w:hAnsi="Times New Roman" w:eastAsia="仿宋" w:cs="仿宋"/>
          <w:kern w:val="2"/>
          <w:sz w:val="32"/>
          <w:szCs w:val="32"/>
        </w:rPr>
        <w:t>项目消费能源品种的二氧化碳排放系数，单位为：吨二氧化碳/吨（或吨二氧化碳/兆瓦时或吨二氧化碳/万立方米）；</w:t>
      </w:r>
    </w:p>
    <w:p>
      <w:pPr>
        <w:pStyle w:val="15"/>
        <w:overflowPunct w:val="0"/>
        <w:adjustRightInd w:val="0"/>
        <w:snapToGrid w:val="0"/>
        <w:spacing w:beforeAutospacing="0" w:afterAutospacing="0" w:line="360" w:lineRule="auto"/>
        <w:ind w:firstLine="640" w:firstLineChars="200"/>
        <w:textAlignment w:val="baseline"/>
        <w:rPr>
          <w:rFonts w:ascii="Times New Roman" w:hAnsi="Times New Roman" w:eastAsia="仿宋" w:cs="仿宋"/>
          <w:kern w:val="2"/>
          <w:sz w:val="32"/>
          <w:szCs w:val="32"/>
        </w:rPr>
      </w:pPr>
      <w:r>
        <w:rPr>
          <w:rFonts w:hint="eastAsia" w:ascii="Times New Roman" w:hAnsi="Times New Roman" w:eastAsia="仿宋" w:cs="仿宋"/>
          <w:kern w:val="2"/>
          <w:sz w:val="32"/>
          <w:szCs w:val="32"/>
        </w:rPr>
        <w:t>电力二氧化碳排放系数</w:t>
      </w:r>
      <w:r>
        <w:rPr>
          <w:rFonts w:hint="eastAsia" w:ascii="Times New Roman" w:hAnsi="Times New Roman" w:eastAsia="仿宋" w:cs="仿宋"/>
          <w:kern w:val="2"/>
          <w:sz w:val="32"/>
          <w:szCs w:val="32"/>
          <w:lang w:val="en-US" w:eastAsia="zh-CN"/>
        </w:rPr>
        <w:t>按</w:t>
      </w:r>
      <w:r>
        <w:rPr>
          <w:rFonts w:hint="eastAsia" w:ascii="Times New Roman" w:hAnsi="Times New Roman" w:eastAsia="仿宋" w:cs="仿宋"/>
          <w:kern w:val="2"/>
          <w:sz w:val="32"/>
          <w:szCs w:val="32"/>
        </w:rPr>
        <w:t>项目所在地区的电网平均二氧化碳排放因子</w:t>
      </w:r>
      <w:r>
        <w:rPr>
          <w:rFonts w:hint="eastAsia" w:ascii="Times New Roman" w:hAnsi="Times New Roman" w:eastAsia="仿宋" w:cs="仿宋"/>
          <w:sz w:val="32"/>
          <w:szCs w:val="32"/>
        </w:rPr>
        <w:t>取值</w:t>
      </w:r>
      <w:r>
        <w:rPr>
          <w:rFonts w:hint="eastAsia" w:ascii="Times New Roman" w:hAnsi="Times New Roman" w:eastAsia="仿宋" w:cs="仿宋"/>
          <w:kern w:val="2"/>
          <w:sz w:val="32"/>
          <w:szCs w:val="32"/>
        </w:rPr>
        <w:t>，广东省</w:t>
      </w:r>
      <w:r>
        <w:rPr>
          <w:rFonts w:hint="eastAsia" w:ascii="Times New Roman" w:hAnsi="Times New Roman" w:eastAsia="仿宋" w:cs="仿宋"/>
          <w:kern w:val="2"/>
          <w:sz w:val="32"/>
          <w:szCs w:val="32"/>
          <w:lang w:val="en-US" w:eastAsia="zh-CN"/>
        </w:rPr>
        <w:t>电力平均</w:t>
      </w:r>
      <w:r>
        <w:rPr>
          <w:rFonts w:hint="eastAsia" w:ascii="Times New Roman" w:hAnsi="Times New Roman" w:eastAsia="仿宋" w:cs="仿宋"/>
          <w:kern w:val="2"/>
          <w:sz w:val="32"/>
          <w:szCs w:val="32"/>
        </w:rPr>
        <w:t>二氧化碳排放因子为0.4715吨CO</w:t>
      </w:r>
      <w:r>
        <w:rPr>
          <w:rFonts w:hint="eastAsia" w:ascii="Times New Roman" w:hAnsi="Times New Roman" w:eastAsia="仿宋" w:cs="仿宋"/>
          <w:kern w:val="2"/>
          <w:sz w:val="32"/>
          <w:szCs w:val="32"/>
          <w:vertAlign w:val="subscript"/>
        </w:rPr>
        <w:t>2</w:t>
      </w:r>
      <w:r>
        <w:rPr>
          <w:rFonts w:hint="eastAsia" w:ascii="Times New Roman" w:hAnsi="Times New Roman" w:eastAsia="仿宋" w:cs="仿宋"/>
          <w:kern w:val="2"/>
          <w:sz w:val="32"/>
          <w:szCs w:val="32"/>
        </w:rPr>
        <w:t>/MWh；</w:t>
      </w:r>
    </w:p>
    <w:p>
      <w:pPr>
        <w:pStyle w:val="15"/>
        <w:overflowPunct w:val="0"/>
        <w:adjustRightInd w:val="0"/>
        <w:snapToGrid w:val="0"/>
        <w:spacing w:beforeAutospacing="0" w:afterAutospacing="0" w:line="360" w:lineRule="auto"/>
        <w:ind w:firstLine="640" w:firstLineChars="200"/>
        <w:textAlignment w:val="baseline"/>
        <w:rPr>
          <w:rFonts w:ascii="Times New Roman" w:hAnsi="Times New Roman" w:eastAsia="仿宋" w:cs="仿宋"/>
          <w:kern w:val="2"/>
          <w:sz w:val="32"/>
          <w:szCs w:val="32"/>
        </w:rPr>
      </w:pPr>
      <w:r>
        <w:rPr>
          <w:rFonts w:ascii="Times New Roman" w:hAnsi="Times New Roman" w:eastAsia="仿宋" w:cs="仿宋"/>
          <w:kern w:val="2"/>
          <w:sz w:val="32"/>
          <w:szCs w:val="32"/>
        </w:rPr>
        <w:t>天然气</w:t>
      </w:r>
      <w:r>
        <w:rPr>
          <w:rFonts w:hint="eastAsia" w:ascii="Times New Roman" w:hAnsi="Times New Roman" w:eastAsia="仿宋" w:cs="仿宋"/>
          <w:kern w:val="2"/>
          <w:sz w:val="32"/>
          <w:szCs w:val="32"/>
        </w:rPr>
        <w:t>、</w:t>
      </w:r>
      <w:r>
        <w:rPr>
          <w:rFonts w:ascii="Times New Roman" w:hAnsi="Times New Roman" w:eastAsia="仿宋" w:cs="仿宋"/>
          <w:kern w:val="2"/>
          <w:sz w:val="32"/>
          <w:szCs w:val="32"/>
        </w:rPr>
        <w:t>柴油</w:t>
      </w:r>
      <w:r>
        <w:rPr>
          <w:rFonts w:hint="eastAsia" w:ascii="Times New Roman" w:hAnsi="Times New Roman" w:eastAsia="仿宋" w:cs="仿宋"/>
          <w:kern w:val="2"/>
          <w:sz w:val="32"/>
          <w:szCs w:val="32"/>
        </w:rPr>
        <w:t>、</w:t>
      </w:r>
      <w:r>
        <w:rPr>
          <w:rFonts w:ascii="Times New Roman" w:hAnsi="Times New Roman" w:eastAsia="仿宋" w:cs="仿宋"/>
          <w:kern w:val="2"/>
          <w:sz w:val="32"/>
          <w:szCs w:val="32"/>
        </w:rPr>
        <w:t>汽油二氧化碳排放</w:t>
      </w:r>
      <w:r>
        <w:rPr>
          <w:rFonts w:hint="eastAsia" w:ascii="Times New Roman" w:hAnsi="Times New Roman" w:eastAsia="仿宋" w:cs="仿宋"/>
          <w:kern w:val="2"/>
          <w:sz w:val="32"/>
          <w:szCs w:val="32"/>
        </w:rPr>
        <w:t>系数取自《指引》，节约能源品种为天然气的，二氧化碳排放系数为2.17公斤二氧化碳/标准立方米；节约能源品种为柴油（含交通工具用动力柴油及燃料柴油）以及作为燃料汽油的二氧化碳排放系数均可取3.16公斤二氧化碳/公斤柴油，交通工具用动力汽油二氧化碳排放系数均可取2.98公斤二氧化碳/公斤汽油 。</w:t>
      </w:r>
    </w:p>
    <w:p>
      <w:pPr>
        <w:pStyle w:val="32"/>
        <w:spacing w:line="360" w:lineRule="auto"/>
        <w:rPr>
          <w:rFonts w:ascii="宋体" w:hAnsi="宋体" w:eastAsia="宋体"/>
          <w:sz w:val="24"/>
          <w:szCs w:val="24"/>
          <w:lang w:val="en-US"/>
        </w:rPr>
      </w:pPr>
      <w:r>
        <w:rPr>
          <w:rFonts w:eastAsia="仿宋" w:cs="仿宋"/>
          <w:kern w:val="2"/>
          <w:szCs w:val="32"/>
          <w:lang w:val="en-US"/>
        </w:rPr>
        <w:t>人均碳足迹以本行能源采集口径对应的员工人数进行</w:t>
      </w:r>
      <w:r>
        <w:rPr>
          <w:rFonts w:hint="eastAsia" w:eastAsia="仿宋" w:cs="仿宋"/>
          <w:kern w:val="2"/>
          <w:szCs w:val="32"/>
          <w:lang w:val="en-US"/>
        </w:rPr>
        <w:t>折算，人数</w:t>
      </w:r>
      <w:r>
        <w:rPr>
          <w:rFonts w:eastAsia="仿宋" w:cs="仿宋"/>
          <w:kern w:val="2"/>
          <w:szCs w:val="32"/>
          <w:lang w:val="en-US"/>
        </w:rPr>
        <w:t>计算公式</w:t>
      </w:r>
      <w:r>
        <w:rPr>
          <w:rFonts w:hint="eastAsia" w:eastAsia="仿宋" w:cs="仿宋"/>
          <w:kern w:val="2"/>
          <w:szCs w:val="32"/>
          <w:lang w:val="en-US"/>
        </w:rPr>
        <w:t>如下</w:t>
      </w:r>
      <w:r>
        <w:rPr>
          <w:rFonts w:eastAsia="仿宋" w:cs="仿宋"/>
          <w:kern w:val="2"/>
          <w:szCs w:val="32"/>
          <w:lang w:val="en-US"/>
        </w:rPr>
        <w:t>：</w:t>
      </w:r>
    </w:p>
    <w:p>
      <w:pPr>
        <w:pStyle w:val="32"/>
        <w:spacing w:line="360" w:lineRule="auto"/>
        <w:ind w:firstLine="0" w:firstLineChars="0"/>
        <w:rPr>
          <w:sz w:val="21"/>
          <w:szCs w:val="21"/>
          <w:lang w:val="en-US"/>
        </w:rPr>
      </w:pPr>
      <w:r>
        <w:rPr>
          <w:rFonts w:ascii="宋体" w:hAnsi="宋体" w:eastAsia="宋体"/>
          <w:sz w:val="24"/>
          <w:szCs w:val="24"/>
          <w:lang w:val="en-US"/>
        </w:rPr>
        <w:drawing>
          <wp:inline distT="0" distB="0" distL="0" distR="0">
            <wp:extent cx="2651760" cy="914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l="26553" r="23447"/>
                    <a:stretch>
                      <a:fillRect/>
                    </a:stretch>
                  </pic:blipFill>
                  <pic:spPr>
                    <a:xfrm>
                      <a:off x="0" y="0"/>
                      <a:ext cx="2651760" cy="914400"/>
                    </a:xfrm>
                    <a:prstGeom prst="rect">
                      <a:avLst/>
                    </a:prstGeom>
                    <a:noFill/>
                    <a:ln>
                      <a:noFill/>
                    </a:ln>
                  </pic:spPr>
                </pic:pic>
              </a:graphicData>
            </a:graphic>
          </wp:inline>
        </w:drawing>
      </w:r>
    </w:p>
    <w:p>
      <w:pPr>
        <w:pStyle w:val="4"/>
        <w:outlineLvl w:val="9"/>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pPr>
      <w:bookmarkStart w:id="14" w:name="_Toc20565"/>
      <w:r>
        <w:rPr>
          <w:rFonts w:hint="eastAsia"/>
        </w:rPr>
        <w:t>附录2 绿色信贷环境效益测算与表达</w:t>
      </w:r>
      <w:bookmarkEnd w:id="14"/>
    </w:p>
    <w:p>
      <w:pPr>
        <w:spacing w:line="360" w:lineRule="auto"/>
        <w:ind w:firstLine="640" w:firstLineChars="200"/>
        <w:rPr>
          <w:rFonts w:eastAsia="仿宋" w:cs="仿宋"/>
          <w:szCs w:val="32"/>
        </w:rPr>
      </w:pPr>
      <w:r>
        <w:rPr>
          <w:rFonts w:hint="eastAsia" w:eastAsia="仿宋" w:cs="仿宋"/>
          <w:szCs w:val="32"/>
        </w:rPr>
        <w:t>根据</w:t>
      </w:r>
      <w:r>
        <w:rPr>
          <w:rFonts w:hint="eastAsia" w:eastAsia="仿宋" w:cs="仿宋"/>
          <w:szCs w:val="32"/>
          <w:lang w:val="en-US" w:eastAsia="zh-CN"/>
        </w:rPr>
        <w:t>原</w:t>
      </w:r>
      <w:r>
        <w:rPr>
          <w:rFonts w:hint="eastAsia" w:eastAsia="仿宋" w:cs="仿宋"/>
          <w:szCs w:val="32"/>
        </w:rPr>
        <w:t>中国银保监会于2020年6月发布的《指引》，《指引》中绿色信贷项目按照不同的产业及涉及的环境效益设置了不同的测算方法。本行以此作为行内绿色信贷项目的环境效益测算标准进行计算。本报告中所涉及绿色债券、绿色信贷投放项目减排数据均参照《指引》方法计算得出，环境效益测算所涉及的关键数据来源于项目可研报告及相关批复文件、项目实际投产运营参数等，计算所需相关系数及缺省值由《指引》提供。</w:t>
      </w:r>
    </w:p>
    <w:p>
      <w:pPr>
        <w:pStyle w:val="4"/>
      </w:pPr>
      <w:r>
        <w:rPr>
          <w:rFonts w:hint="eastAsia"/>
        </w:rPr>
        <w:t>可再生能源项目</w:t>
      </w:r>
    </w:p>
    <w:p>
      <w:pPr>
        <w:ind w:firstLine="640" w:firstLineChars="200"/>
        <w:rPr>
          <w:rFonts w:eastAsia="仿宋" w:cs="仿宋"/>
          <w:szCs w:val="32"/>
        </w:rPr>
      </w:pPr>
      <w:r>
        <w:rPr>
          <w:rFonts w:hint="eastAsia" w:eastAsia="仿宋" w:cs="仿宋"/>
          <w:szCs w:val="32"/>
        </w:rPr>
        <w:t>可再生能源项目可能的环境效益包括：标准煤节约效益，二氧化碳当量、二氧化硫、氮氧化物、细颗粒物减排效益、节水效益。其中的生物质能发电、供热项目不测算二氧化碳减排效益、节水效益。</w:t>
      </w:r>
    </w:p>
    <w:p>
      <w:pPr>
        <w:ind w:firstLine="640" w:firstLineChars="200"/>
        <w:rPr>
          <w:rFonts w:eastAsia="仿宋" w:cs="仿宋"/>
          <w:szCs w:val="32"/>
        </w:rPr>
      </w:pPr>
      <w:r>
        <w:rPr>
          <w:rFonts w:hint="eastAsia" w:eastAsia="仿宋" w:cs="仿宋"/>
          <w:szCs w:val="32"/>
        </w:rPr>
        <w:t>以项目范围内的发电、供热活动为边界，以燃煤发电、供热活动的能耗、污染物排放为基准线，并假设项目对外供电量能够全部上网，不考虑弃风、弃光等问题。</w:t>
      </w:r>
    </w:p>
    <w:p>
      <w:pPr>
        <w:spacing w:line="360" w:lineRule="auto"/>
        <w:ind w:left="422"/>
        <w:rPr>
          <w:rFonts w:eastAsia="仿宋" w:cs="仿宋"/>
          <w:szCs w:val="32"/>
        </w:rPr>
      </w:pPr>
      <w:r>
        <w:rPr>
          <w:rFonts w:hint="eastAsia" w:eastAsia="仿宋" w:cs="仿宋"/>
          <w:szCs w:val="32"/>
        </w:rPr>
        <w:t>（1）节能量</w:t>
      </w:r>
    </w:p>
    <w:p>
      <w:pPr>
        <w:spacing w:line="360" w:lineRule="auto"/>
        <w:ind w:left="422"/>
        <w:jc w:val="center"/>
        <w:rPr>
          <w:rFonts w:eastAsia="仿宋" w:cs="仿宋"/>
          <w:szCs w:val="32"/>
        </w:rPr>
      </w:pPr>
      <w:r>
        <w:rPr>
          <w:rFonts w:eastAsia="仿宋" w:cs="仿宋"/>
          <w:szCs w:val="32"/>
        </w:rPr>
        <w:object>
          <v:shape id="_x0000_i1026" o:spt="75" type="#_x0000_t75" style="height:31.55pt;width:261.0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p>
    <w:p>
      <w:pPr>
        <w:spacing w:line="360" w:lineRule="auto"/>
        <w:ind w:firstLine="643" w:firstLineChars="201"/>
        <w:rPr>
          <w:rFonts w:eastAsia="仿宋" w:cs="仿宋"/>
          <w:szCs w:val="32"/>
        </w:rPr>
      </w:pPr>
      <w:r>
        <w:rPr>
          <w:rFonts w:eastAsia="仿宋" w:cs="仿宋"/>
          <w:szCs w:val="32"/>
        </w:rPr>
        <w:t>注：本公式适用于太阳能发电、风电、水电及生物质能发电、供热项目，不包括太阳能光热利用项目，如测算项目无供热量，公式中项目供热量数据取值为零。式中：</w:t>
      </w:r>
    </w:p>
    <w:p>
      <w:pPr>
        <w:tabs>
          <w:tab w:val="left" w:pos="6486"/>
        </w:tabs>
        <w:spacing w:line="360" w:lineRule="auto"/>
        <w:ind w:firstLine="643" w:firstLineChars="201"/>
        <w:rPr>
          <w:rFonts w:eastAsia="仿宋" w:cs="仿宋"/>
          <w:szCs w:val="32"/>
        </w:rPr>
      </w:pPr>
      <w:r>
        <w:rPr>
          <w:rFonts w:eastAsia="仿宋" w:cs="仿宋"/>
          <w:i/>
          <w:szCs w:val="32"/>
        </w:rPr>
        <w:t>E</w:t>
      </w:r>
      <w:r>
        <w:rPr>
          <w:rFonts w:hint="eastAsia" w:eastAsia="仿宋" w:cs="仿宋"/>
          <w:szCs w:val="32"/>
        </w:rPr>
        <w:t>—</w:t>
      </w:r>
      <w:r>
        <w:rPr>
          <w:rFonts w:eastAsia="仿宋" w:cs="仿宋"/>
          <w:szCs w:val="32"/>
        </w:rPr>
        <w:t>年标准煤节约能力，单位为：吨标准煤；</w:t>
      </w:r>
      <w:r>
        <w:rPr>
          <w:rFonts w:eastAsia="仿宋" w:cs="仿宋"/>
          <w:szCs w:val="32"/>
        </w:rPr>
        <w:tab/>
      </w:r>
    </w:p>
    <w:p>
      <w:pPr>
        <w:spacing w:line="360" w:lineRule="auto"/>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w:t>
      </w:r>
      <w:r>
        <w:rPr>
          <w:rFonts w:eastAsia="仿宋" w:cs="仿宋"/>
          <w:szCs w:val="32"/>
        </w:rPr>
        <w:t>项目年供电量，单位为：万千瓦时；</w:t>
      </w:r>
    </w:p>
    <w:p>
      <w:pPr>
        <w:spacing w:line="360" w:lineRule="auto"/>
        <w:ind w:firstLine="643" w:firstLineChars="201"/>
        <w:rPr>
          <w:rFonts w:eastAsia="仿宋" w:cs="仿宋"/>
          <w:szCs w:val="32"/>
        </w:rPr>
      </w:pPr>
      <w:r>
        <w:rPr>
          <w:rFonts w:eastAsia="仿宋" w:cs="仿宋"/>
          <w:i/>
          <w:szCs w:val="32"/>
        </w:rPr>
        <w:t>β</w:t>
      </w:r>
      <w:r>
        <w:rPr>
          <w:rFonts w:hint="eastAsia" w:eastAsia="仿宋" w:cs="仿宋"/>
          <w:szCs w:val="32"/>
        </w:rPr>
        <w:t>—</w:t>
      </w:r>
      <w:r>
        <w:rPr>
          <w:rFonts w:eastAsia="仿宋" w:cs="仿宋"/>
          <w:szCs w:val="32"/>
        </w:rPr>
        <w:t>项目投产年度全国平均火电供电煤耗，单位为：千克标煤/千瓦时；该数值取环境效益测算年度的上一年度全国平均火电供电煤耗度数据</w:t>
      </w:r>
      <w:r>
        <w:rPr>
          <w:rFonts w:hint="eastAsia" w:eastAsia="仿宋" w:cs="仿宋"/>
          <w:szCs w:val="32"/>
        </w:rPr>
        <w:t>；</w:t>
      </w:r>
    </w:p>
    <w:p>
      <w:pPr>
        <w:spacing w:line="360" w:lineRule="auto"/>
        <w:ind w:firstLine="643" w:firstLineChars="201"/>
        <w:rPr>
          <w:rFonts w:eastAsia="仿宋" w:cs="仿宋"/>
          <w:szCs w:val="32"/>
        </w:rPr>
      </w:pPr>
      <w:r>
        <w:rPr>
          <w:rFonts w:eastAsia="仿宋" w:cs="仿宋"/>
          <w:i/>
          <w:szCs w:val="32"/>
        </w:rPr>
        <w:t>Q</w:t>
      </w:r>
      <w:r>
        <w:rPr>
          <w:rFonts w:eastAsia="仿宋" w:cs="仿宋"/>
          <w:i/>
          <w:szCs w:val="32"/>
          <w:vertAlign w:val="subscript"/>
        </w:rPr>
        <w:t>g</w:t>
      </w:r>
      <w:r>
        <w:rPr>
          <w:rFonts w:hint="eastAsia" w:eastAsia="仿宋" w:cs="仿宋"/>
          <w:szCs w:val="32"/>
        </w:rPr>
        <w:t>—</w:t>
      </w:r>
      <w:r>
        <w:rPr>
          <w:rFonts w:eastAsia="仿宋" w:cs="仿宋"/>
          <w:szCs w:val="32"/>
        </w:rPr>
        <w:t>项目年供热量，单位：百万吉焦；</w:t>
      </w:r>
    </w:p>
    <w:p>
      <w:pPr>
        <w:spacing w:line="360" w:lineRule="auto"/>
        <w:ind w:firstLine="643" w:firstLineChars="201"/>
        <w:rPr>
          <w:rFonts w:eastAsia="仿宋" w:cs="仿宋"/>
          <w:szCs w:val="32"/>
        </w:rPr>
      </w:pPr>
      <w:r>
        <w:rPr>
          <w:rFonts w:eastAsia="仿宋" w:cs="仿宋"/>
          <w:i/>
          <w:szCs w:val="32"/>
        </w:rPr>
        <w:t>b</w:t>
      </w:r>
      <w:r>
        <w:rPr>
          <w:rFonts w:eastAsia="仿宋" w:cs="仿宋"/>
          <w:i/>
          <w:szCs w:val="32"/>
          <w:vertAlign w:val="subscript"/>
        </w:rPr>
        <w:t>g</w:t>
      </w:r>
      <w:r>
        <w:rPr>
          <w:rFonts w:hint="eastAsia" w:eastAsia="仿宋" w:cs="仿宋"/>
          <w:szCs w:val="32"/>
        </w:rPr>
        <w:t>—</w:t>
      </w:r>
      <w:r>
        <w:rPr>
          <w:rFonts w:eastAsia="仿宋" w:cs="仿宋"/>
          <w:szCs w:val="32"/>
        </w:rPr>
        <w:t>全国集中供热锅炉房平均供热煤耗，单位：千克标煤/吉焦。缺省值40千克标煤/吉焦。</w:t>
      </w:r>
    </w:p>
    <w:p>
      <w:pPr>
        <w:spacing w:line="360" w:lineRule="auto"/>
        <w:ind w:left="480"/>
        <w:jc w:val="center"/>
        <w:rPr>
          <w:rFonts w:eastAsia="仿宋" w:cs="仿宋"/>
          <w:szCs w:val="32"/>
        </w:rPr>
      </w:pPr>
      <w:r>
        <w:rPr>
          <w:rFonts w:eastAsia="仿宋" w:cs="仿宋"/>
          <w:szCs w:val="32"/>
        </w:rPr>
        <w:object>
          <v:shape id="_x0000_i1027" o:spt="75" type="#_x0000_t75" style="height:31.55pt;width:116.3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p>
    <w:p>
      <w:pPr>
        <w:spacing w:line="360" w:lineRule="auto"/>
        <w:ind w:firstLine="640" w:firstLineChars="200"/>
        <w:rPr>
          <w:rFonts w:eastAsia="仿宋" w:cs="仿宋"/>
          <w:szCs w:val="32"/>
        </w:rPr>
      </w:pPr>
      <w:r>
        <w:rPr>
          <w:rFonts w:eastAsia="仿宋" w:cs="仿宋"/>
          <w:szCs w:val="32"/>
        </w:rPr>
        <w:t>本公式适用于太阳能光热利用项目。式中：</w:t>
      </w:r>
    </w:p>
    <w:p>
      <w:pPr>
        <w:spacing w:line="360" w:lineRule="auto"/>
        <w:ind w:firstLine="640" w:firstLineChars="200"/>
        <w:rPr>
          <w:rFonts w:eastAsia="仿宋" w:cs="仿宋"/>
          <w:szCs w:val="32"/>
        </w:rPr>
      </w:pPr>
      <w:r>
        <w:rPr>
          <w:rFonts w:eastAsia="仿宋" w:cs="仿宋"/>
          <w:i/>
          <w:szCs w:val="32"/>
        </w:rPr>
        <w:t>E</w:t>
      </w:r>
      <w:r>
        <w:rPr>
          <w:rFonts w:eastAsia="仿宋" w:cs="仿宋"/>
          <w:szCs w:val="32"/>
        </w:rPr>
        <w:t xml:space="preserve"> </w:t>
      </w:r>
      <w:r>
        <w:rPr>
          <w:rFonts w:hint="eastAsia" w:eastAsia="仿宋" w:cs="仿宋"/>
          <w:szCs w:val="32"/>
        </w:rPr>
        <w:t>—</w:t>
      </w:r>
      <w:r>
        <w:rPr>
          <w:rFonts w:eastAsia="仿宋" w:cs="仿宋"/>
          <w:szCs w:val="32"/>
        </w:rPr>
        <w:t>项目年节约标准煤能力，单位为：吨标准煤；</w:t>
      </w:r>
    </w:p>
    <w:p>
      <w:pPr>
        <w:spacing w:line="360" w:lineRule="auto"/>
        <w:ind w:firstLine="640" w:firstLineChars="200"/>
        <w:rPr>
          <w:rFonts w:eastAsia="仿宋" w:cs="仿宋"/>
          <w:szCs w:val="32"/>
        </w:rPr>
      </w:pPr>
      <w:r>
        <w:rPr>
          <w:rFonts w:eastAsia="仿宋" w:cs="仿宋"/>
          <w:szCs w:val="32"/>
        </w:rPr>
        <w:t>A</w:t>
      </w:r>
      <w:r>
        <w:rPr>
          <w:rFonts w:hint="eastAsia" w:eastAsia="仿宋" w:cs="仿宋"/>
          <w:szCs w:val="32"/>
        </w:rPr>
        <w:t>—</w:t>
      </w:r>
      <w:r>
        <w:rPr>
          <w:rFonts w:eastAsia="仿宋" w:cs="仿宋"/>
          <w:szCs w:val="32"/>
        </w:rPr>
        <w:t>项目太阳能光热利用规模，单位为：万平方米；</w:t>
      </w:r>
    </w:p>
    <w:p>
      <w:pPr>
        <w:spacing w:line="360" w:lineRule="auto"/>
        <w:ind w:firstLine="643" w:firstLineChars="201"/>
        <w:rPr>
          <w:rFonts w:eastAsia="仿宋" w:cs="仿宋"/>
          <w:szCs w:val="32"/>
        </w:rPr>
      </w:pPr>
      <w:r>
        <w:rPr>
          <w:rFonts w:eastAsia="仿宋"/>
          <w:i/>
          <w:szCs w:val="32"/>
        </w:rPr>
        <w:t>α</w:t>
      </w:r>
      <w:r>
        <w:rPr>
          <w:rFonts w:hint="eastAsia" w:eastAsia="仿宋" w:cs="仿宋"/>
          <w:szCs w:val="32"/>
        </w:rPr>
        <w:t>—</w:t>
      </w:r>
      <w:r>
        <w:rPr>
          <w:rFonts w:eastAsia="仿宋" w:cs="仿宋"/>
          <w:szCs w:val="32"/>
        </w:rPr>
        <w:t>单位利用规模折算标煤量，单位为：吨标煤/平方米。对于太阳能热水项目缺省值取0.15吨标煤/平方米</w:t>
      </w:r>
      <w:r>
        <w:rPr>
          <w:rFonts w:hint="eastAsia" w:eastAsia="仿宋" w:cs="仿宋"/>
          <w:szCs w:val="32"/>
        </w:rPr>
        <w:t>。</w:t>
      </w:r>
    </w:p>
    <w:p>
      <w:pPr>
        <w:spacing w:line="360" w:lineRule="auto"/>
        <w:ind w:firstLine="643" w:firstLineChars="201"/>
        <w:rPr>
          <w:rFonts w:eastAsia="仿宋" w:cs="仿宋"/>
          <w:szCs w:val="32"/>
        </w:rPr>
      </w:pPr>
      <w:r>
        <w:rPr>
          <w:rFonts w:eastAsia="仿宋" w:cs="仿宋"/>
          <w:szCs w:val="32"/>
        </w:rPr>
        <w:t>（2）二氧化碳当量减排量</w:t>
      </w:r>
    </w:p>
    <w:p>
      <w:pPr>
        <w:ind w:firstLine="643" w:firstLineChars="201"/>
        <w:rPr>
          <w:rFonts w:eastAsia="仿宋" w:cs="仿宋"/>
          <w:szCs w:val="32"/>
        </w:rPr>
      </w:pPr>
      <w:r>
        <w:rPr>
          <w:rFonts w:eastAsia="仿宋" w:cs="仿宋"/>
          <w:szCs w:val="32"/>
        </w:rPr>
        <w:object>
          <v:shape id="_x0000_i1028" o:spt="75" type="#_x0000_t75" style="height:35.4pt;width:326.9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eastAsia="仿宋" w:cs="仿宋"/>
          <w:szCs w:val="32"/>
        </w:rPr>
        <w:t xml:space="preserve">         </w:t>
      </w:r>
    </w:p>
    <w:p>
      <w:pPr>
        <w:spacing w:line="360" w:lineRule="auto"/>
        <w:ind w:firstLine="640" w:firstLineChars="200"/>
        <w:rPr>
          <w:rFonts w:eastAsia="仿宋" w:cs="仿宋"/>
          <w:szCs w:val="32"/>
        </w:rPr>
      </w:pPr>
      <w:r>
        <w:rPr>
          <w:rFonts w:eastAsia="仿宋" w:cs="仿宋"/>
          <w:szCs w:val="32"/>
        </w:rPr>
        <w:t>注：本公式根据可再生能源供电量与区域电网基准线排放因子并结合供热量计算二氧化碳减排量。式中：</w:t>
      </w:r>
    </w:p>
    <w:p>
      <w:pPr>
        <w:ind w:firstLine="643" w:firstLineChars="201"/>
        <w:rPr>
          <w:rFonts w:eastAsia="仿宋" w:cs="仿宋"/>
          <w:szCs w:val="32"/>
        </w:rPr>
      </w:pPr>
      <w:r>
        <w:rPr>
          <w:rFonts w:eastAsia="仿宋" w:cs="仿宋"/>
          <w:i/>
          <w:szCs w:val="32"/>
        </w:rPr>
        <w:t>CO</w:t>
      </w:r>
      <w:r>
        <w:rPr>
          <w:rFonts w:eastAsia="仿宋" w:cs="仿宋"/>
          <w:i/>
          <w:szCs w:val="32"/>
          <w:vertAlign w:val="subscript"/>
        </w:rPr>
        <w:t>2</w:t>
      </w:r>
      <w:r>
        <w:rPr>
          <w:rFonts w:hint="eastAsia" w:eastAsia="仿宋" w:cs="仿宋"/>
          <w:szCs w:val="32"/>
        </w:rPr>
        <w:t>—</w:t>
      </w:r>
      <w:r>
        <w:rPr>
          <w:rFonts w:eastAsia="仿宋" w:cs="仿宋"/>
          <w:szCs w:val="32"/>
        </w:rPr>
        <w:t>项目二氧化碳当量减排量，单位：吨二氧化碳；</w:t>
      </w:r>
    </w:p>
    <w:p>
      <w:pPr>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w:t>
      </w:r>
      <w:r>
        <w:rPr>
          <w:rFonts w:eastAsia="仿宋" w:cs="仿宋"/>
          <w:szCs w:val="32"/>
        </w:rPr>
        <w:t>项目年供电量，单位：兆瓦时；</w:t>
      </w:r>
    </w:p>
    <w:p>
      <w:pPr>
        <w:spacing w:line="360" w:lineRule="auto"/>
        <w:ind w:firstLine="643" w:firstLineChars="201"/>
        <w:rPr>
          <w:rFonts w:eastAsia="仿宋" w:cs="仿宋"/>
          <w:szCs w:val="32"/>
        </w:rPr>
      </w:pPr>
      <w:r>
        <w:rPr>
          <w:rFonts w:eastAsia="仿宋"/>
          <w:i/>
          <w:szCs w:val="32"/>
        </w:rPr>
        <w:t>α</w:t>
      </w:r>
      <w:r>
        <w:rPr>
          <w:rFonts w:hint="eastAsia" w:eastAsia="仿宋" w:cs="仿宋"/>
          <w:szCs w:val="32"/>
          <w:vertAlign w:val="subscript"/>
        </w:rPr>
        <w:t>i</w:t>
      </w:r>
      <w:r>
        <w:rPr>
          <w:rFonts w:hint="eastAsia" w:eastAsia="仿宋" w:cs="仿宋"/>
          <w:szCs w:val="32"/>
        </w:rPr>
        <w:t>—</w:t>
      </w:r>
      <w:r>
        <w:rPr>
          <w:rFonts w:eastAsia="仿宋" w:cs="仿宋"/>
          <w:szCs w:val="32"/>
        </w:rPr>
        <w:t>可再生能源发电项目所在地区区域电网的二氧化碳基准线排放因子。单位：吨二氧化碳/兆瓦时；</w:t>
      </w:r>
      <w:r>
        <w:rPr>
          <w:rFonts w:hint="eastAsia" w:eastAsia="仿宋" w:cs="仿宋"/>
          <w:szCs w:val="32"/>
        </w:rPr>
        <w:t>该数值随国家主管部门更新而更新数据；</w:t>
      </w:r>
    </w:p>
    <w:p>
      <w:pPr>
        <w:spacing w:line="360" w:lineRule="auto"/>
        <w:ind w:firstLine="643" w:firstLineChars="201"/>
        <w:rPr>
          <w:rFonts w:eastAsia="仿宋" w:cs="仿宋"/>
          <w:szCs w:val="32"/>
        </w:rPr>
      </w:pPr>
      <w:r>
        <w:rPr>
          <w:rFonts w:eastAsia="仿宋" w:cs="仿宋"/>
          <w:i/>
          <w:szCs w:val="32"/>
        </w:rPr>
        <w:t>Q</w:t>
      </w:r>
      <w:r>
        <w:rPr>
          <w:rFonts w:eastAsia="仿宋" w:cs="仿宋"/>
          <w:i/>
          <w:szCs w:val="32"/>
          <w:vertAlign w:val="subscript"/>
        </w:rPr>
        <w:t>g</w:t>
      </w:r>
      <w:r>
        <w:rPr>
          <w:rFonts w:hint="eastAsia" w:eastAsia="仿宋" w:cs="仿宋"/>
          <w:szCs w:val="32"/>
        </w:rPr>
        <w:t>—</w:t>
      </w:r>
      <w:r>
        <w:rPr>
          <w:rFonts w:eastAsia="仿宋" w:cs="仿宋"/>
          <w:szCs w:val="32"/>
        </w:rPr>
        <w:t>项目年供热量，单位：百万吉焦；若只发电不供热，则</w:t>
      </w:r>
      <w:r>
        <w:rPr>
          <w:rFonts w:eastAsia="仿宋" w:cs="仿宋"/>
          <w:i/>
          <w:szCs w:val="32"/>
        </w:rPr>
        <w:t>Q</w:t>
      </w:r>
      <w:r>
        <w:rPr>
          <w:rFonts w:eastAsia="仿宋" w:cs="仿宋"/>
          <w:i/>
          <w:szCs w:val="32"/>
          <w:vertAlign w:val="subscript"/>
        </w:rPr>
        <w:t>g</w:t>
      </w:r>
      <w:r>
        <w:rPr>
          <w:rFonts w:eastAsia="仿宋" w:cs="仿宋"/>
          <w:szCs w:val="32"/>
        </w:rPr>
        <w:t>值为零；</w:t>
      </w:r>
    </w:p>
    <w:p>
      <w:pPr>
        <w:spacing w:line="360" w:lineRule="auto"/>
        <w:ind w:firstLine="643" w:firstLineChars="201"/>
        <w:rPr>
          <w:rFonts w:eastAsia="仿宋" w:cs="仿宋"/>
          <w:szCs w:val="32"/>
        </w:rPr>
      </w:pPr>
      <w:r>
        <w:rPr>
          <w:rFonts w:eastAsia="仿宋" w:cs="仿宋"/>
          <w:i/>
          <w:szCs w:val="32"/>
        </w:rPr>
        <w:t>b</w:t>
      </w:r>
      <w:r>
        <w:rPr>
          <w:rFonts w:eastAsia="仿宋" w:cs="仿宋"/>
          <w:i/>
          <w:szCs w:val="32"/>
          <w:vertAlign w:val="subscript"/>
        </w:rPr>
        <w:t>g</w:t>
      </w:r>
      <w:r>
        <w:rPr>
          <w:rFonts w:hint="eastAsia" w:eastAsia="仿宋" w:cs="仿宋"/>
          <w:szCs w:val="32"/>
        </w:rPr>
        <w:t>—</w:t>
      </w:r>
      <w:r>
        <w:rPr>
          <w:rFonts w:eastAsia="仿宋" w:cs="仿宋"/>
          <w:szCs w:val="32"/>
        </w:rPr>
        <w:t>全国集中供热锅炉房平均供热煤耗，单位：千克标煤/吉焦。缺省值取40千克标煤/吉焦。</w:t>
      </w:r>
    </w:p>
    <w:p>
      <w:pPr>
        <w:spacing w:line="360" w:lineRule="auto"/>
        <w:ind w:firstLine="643" w:firstLineChars="201"/>
        <w:rPr>
          <w:rFonts w:eastAsia="仿宋" w:cs="仿宋"/>
          <w:szCs w:val="32"/>
        </w:rPr>
      </w:pPr>
      <w:r>
        <w:rPr>
          <w:rFonts w:eastAsia="仿宋" w:cs="仿宋"/>
          <w:szCs w:val="32"/>
        </w:rPr>
        <w:t>（3）二氧化硫削减量</w:t>
      </w:r>
    </w:p>
    <w:p>
      <w:pPr>
        <w:spacing w:line="360" w:lineRule="auto"/>
        <w:ind w:firstLine="643" w:firstLineChars="201"/>
        <w:rPr>
          <w:rFonts w:eastAsia="仿宋" w:cs="仿宋"/>
          <w:szCs w:val="32"/>
        </w:rPr>
      </w:pPr>
      <m:oMathPara>
        <m:oMath>
          <m:sSub>
            <m:sSubPr>
              <m:ctrlPr>
                <w:rPr>
                  <w:rFonts w:ascii="Cambria Math" w:hAnsi="Cambria Math" w:eastAsia="仿宋" w:cs="仿宋"/>
                  <w:szCs w:val="32"/>
                </w:rPr>
              </m:ctrlPr>
            </m:sSubPr>
            <m:e>
              <m:r>
                <m:rPr/>
                <w:rPr>
                  <w:rFonts w:ascii="Cambria Math" w:hAnsi="Cambria Math" w:eastAsia="仿宋" w:cs="仿宋"/>
                  <w:szCs w:val="32"/>
                </w:rPr>
                <m:t>SO</m:t>
              </m:r>
              <m:ctrlPr>
                <w:rPr>
                  <w:rFonts w:ascii="Cambria Math" w:hAnsi="Cambria Math" w:eastAsia="仿宋" w:cs="仿宋"/>
                  <w:szCs w:val="32"/>
                </w:rPr>
              </m:ctrlPr>
            </m:e>
            <m:sub>
              <m:r>
                <m:rPr>
                  <m:sty m:val="p"/>
                </m:rPr>
                <w:rPr>
                  <w:rFonts w:ascii="Cambria Math" w:hAnsi="Cambria Math" w:eastAsia="仿宋" w:cs="仿宋"/>
                  <w:szCs w:val="32"/>
                </w:rPr>
                <m:t>2</m:t>
              </m:r>
              <m:ctrlPr>
                <w:rPr>
                  <w:rFonts w:ascii="Cambria Math" w:hAnsi="Cambria Math" w:eastAsia="仿宋" w:cs="仿宋"/>
                  <w:szCs w:val="32"/>
                </w:rPr>
              </m:ctrlPr>
            </m:sub>
          </m:sSub>
          <m:r>
            <m:rPr>
              <m:sty m:val="p"/>
            </m:rPr>
            <w:rPr>
              <w:rFonts w:ascii="Cambria Math" w:hAnsi="Cambria Math" w:eastAsia="仿宋" w:cs="仿宋"/>
              <w:szCs w:val="32"/>
            </w:rPr>
            <m:t>=</m:t>
          </m:r>
          <m:f>
            <m:fPr>
              <m:ctrlPr>
                <w:rPr>
                  <w:rFonts w:ascii="Cambria Math" w:hAnsi="Cambria Math" w:eastAsia="仿宋" w:cs="仿宋"/>
                  <w:szCs w:val="32"/>
                </w:rPr>
              </m:ctrlPr>
            </m:fPr>
            <m:num>
              <m:sSub>
                <m:sSubPr>
                  <m:ctrlPr>
                    <w:rPr>
                      <w:rFonts w:ascii="Cambria Math" w:hAnsi="Cambria Math" w:eastAsia="仿宋" w:cs="仿宋"/>
                      <w:szCs w:val="32"/>
                    </w:rPr>
                  </m:ctrlPr>
                </m:sSubPr>
                <m:e>
                  <m:r>
                    <m:rPr/>
                    <w:rPr>
                      <w:rFonts w:ascii="Cambria Math" w:hAnsi="Cambria Math" w:eastAsia="仿宋" w:cs="仿宋"/>
                      <w:szCs w:val="32"/>
                    </w:rPr>
                    <m:t>W</m:t>
                  </m:r>
                  <m:ctrlPr>
                    <w:rPr>
                      <w:rFonts w:ascii="Cambria Math" w:hAnsi="Cambria Math" w:eastAsia="仿宋" w:cs="仿宋"/>
                      <w:szCs w:val="32"/>
                    </w:rPr>
                  </m:ctrlPr>
                </m:e>
                <m:sub>
                  <m:r>
                    <m:rPr/>
                    <w:rPr>
                      <w:rFonts w:ascii="Cambria Math" w:hAnsi="Cambria Math" w:eastAsia="仿宋" w:cs="仿宋"/>
                      <w:szCs w:val="32"/>
                    </w:rPr>
                    <m:t>g</m:t>
                  </m:r>
                  <m:ctrlPr>
                    <w:rPr>
                      <w:rFonts w:ascii="Cambria Math" w:hAnsi="Cambria Math" w:eastAsia="仿宋" w:cs="仿宋"/>
                      <w:szCs w:val="32"/>
                    </w:rPr>
                  </m:ctrlPr>
                </m:sub>
              </m:sSub>
              <m:ctrlPr>
                <w:rPr>
                  <w:rFonts w:ascii="Cambria Math" w:hAnsi="Cambria Math" w:eastAsia="仿宋" w:cs="仿宋"/>
                  <w:szCs w:val="32"/>
                </w:rPr>
              </m:ctrlPr>
            </m:num>
            <m:den>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k</m:t>
                  </m:r>
                  <m:ctrlPr>
                    <w:rPr>
                      <w:rFonts w:ascii="Cambria Math" w:hAnsi="Cambria Math" w:eastAsia="仿宋" w:cs="仿宋"/>
                      <w:szCs w:val="32"/>
                    </w:rPr>
                  </m:ctrlPr>
                </m:sub>
              </m:sSub>
              <m:ctrlPr>
                <w:rPr>
                  <w:rFonts w:ascii="Cambria Math" w:hAnsi="Cambria Math" w:eastAsia="仿宋" w:cs="仿宋"/>
                  <w:szCs w:val="32"/>
                </w:rPr>
              </m:ctrlPr>
            </m:den>
          </m:f>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α</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×10</m:t>
          </m:r>
        </m:oMath>
      </m:oMathPara>
    </w:p>
    <w:p>
      <w:pPr>
        <w:ind w:firstLine="643" w:firstLineChars="201"/>
        <w:rPr>
          <w:rFonts w:eastAsia="仿宋" w:cs="仿宋"/>
          <w:szCs w:val="32"/>
        </w:rPr>
      </w:pPr>
      <w:r>
        <w:rPr>
          <w:rFonts w:eastAsia="仿宋" w:cs="仿宋"/>
          <w:szCs w:val="32"/>
        </w:rPr>
        <w:t>式中：</w:t>
      </w:r>
    </w:p>
    <w:p>
      <w:pPr>
        <w:ind w:firstLine="643" w:firstLineChars="201"/>
        <w:rPr>
          <w:rFonts w:eastAsia="仿宋" w:cs="仿宋"/>
          <w:szCs w:val="32"/>
        </w:rPr>
      </w:pPr>
      <w:r>
        <w:rPr>
          <w:rFonts w:hint="eastAsia" w:eastAsia="仿宋" w:cs="仿宋"/>
          <w:i/>
          <w:szCs w:val="32"/>
        </w:rPr>
        <w:t>S</w:t>
      </w:r>
      <w:r>
        <w:rPr>
          <w:rFonts w:eastAsia="仿宋" w:cs="仿宋"/>
          <w:i/>
          <w:szCs w:val="32"/>
        </w:rPr>
        <w:t>O</w:t>
      </w:r>
      <w:r>
        <w:rPr>
          <w:rFonts w:eastAsia="仿宋" w:cs="仿宋"/>
          <w:i/>
          <w:szCs w:val="32"/>
          <w:vertAlign w:val="subscript"/>
        </w:rPr>
        <w:t>2</w:t>
      </w:r>
      <w:r>
        <w:rPr>
          <w:rFonts w:hint="eastAsia" w:eastAsia="仿宋" w:cs="仿宋"/>
          <w:szCs w:val="32"/>
        </w:rPr>
        <w:t>—</w:t>
      </w:r>
      <w:r>
        <w:rPr>
          <w:rFonts w:eastAsia="仿宋" w:cs="仿宋"/>
          <w:szCs w:val="32"/>
        </w:rPr>
        <w:t>二氧化硫年削减量，单位：吨；</w:t>
      </w:r>
    </w:p>
    <w:p>
      <w:pPr>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w:t>
      </w:r>
      <w:r>
        <w:rPr>
          <w:rFonts w:eastAsia="仿宋" w:cs="仿宋"/>
          <w:szCs w:val="32"/>
        </w:rPr>
        <w:t>项目年供电量，单位：万千瓦时；</w:t>
      </w:r>
    </w:p>
    <w:p>
      <w:pPr>
        <w:spacing w:line="360" w:lineRule="auto"/>
        <w:ind w:firstLine="643" w:firstLineChars="201"/>
        <w:rPr>
          <w:rFonts w:eastAsia="仿宋" w:cs="仿宋"/>
          <w:szCs w:val="32"/>
        </w:rPr>
      </w:pPr>
      <w:r>
        <w:rPr>
          <w:rFonts w:eastAsia="仿宋" w:cs="仿宋"/>
          <w:i/>
          <w:szCs w:val="32"/>
        </w:rPr>
        <w:t>β</w:t>
      </w:r>
      <w:r>
        <w:rPr>
          <w:rFonts w:eastAsia="仿宋" w:cs="仿宋"/>
          <w:i/>
          <w:szCs w:val="32"/>
          <w:vertAlign w:val="subscript"/>
        </w:rPr>
        <w:t>i</w:t>
      </w:r>
      <w:r>
        <w:rPr>
          <w:rFonts w:hint="eastAsia" w:eastAsia="仿宋" w:cs="仿宋"/>
          <w:szCs w:val="32"/>
        </w:rPr>
        <w:t>—</w:t>
      </w:r>
      <w:r>
        <w:rPr>
          <w:rFonts w:eastAsia="仿宋" w:cs="仿宋"/>
          <w:szCs w:val="32"/>
        </w:rPr>
        <w:t>项目投产年度全国平均火电供电煤耗，单位为：千克/千瓦时；该数值取环境效益测算年度的上一年度全国平均火电供电煤耗度数据。</w:t>
      </w:r>
    </w:p>
    <w:p>
      <w:pPr>
        <w:spacing w:line="360" w:lineRule="auto"/>
        <w:ind w:firstLine="643" w:firstLineChars="201"/>
        <w:rPr>
          <w:rFonts w:eastAsia="仿宋" w:cs="仿宋"/>
          <w:szCs w:val="32"/>
        </w:rPr>
      </w:pPr>
      <w:r>
        <w:rPr>
          <w:rFonts w:eastAsia="仿宋" w:cs="仿宋"/>
          <w:i/>
          <w:szCs w:val="32"/>
        </w:rPr>
        <w:t>β</w:t>
      </w:r>
      <w:r>
        <w:rPr>
          <w:rFonts w:hint="eastAsia" w:eastAsia="仿宋" w:cs="仿宋"/>
          <w:i/>
          <w:szCs w:val="32"/>
          <w:vertAlign w:val="subscript"/>
        </w:rPr>
        <w:t>k</w:t>
      </w:r>
      <w:r>
        <w:rPr>
          <w:rFonts w:hint="eastAsia" w:eastAsia="仿宋" w:cs="仿宋"/>
          <w:szCs w:val="32"/>
        </w:rPr>
        <w:t>—</w:t>
      </w:r>
      <w:r>
        <w:rPr>
          <w:rFonts w:eastAsia="仿宋" w:cs="仿宋"/>
          <w:szCs w:val="32"/>
        </w:rPr>
        <w:t>原煤折标准煤系数，单位：千克标煤/千克，缺省值取0.7143千克标煤/千克</w:t>
      </w:r>
      <w:r>
        <w:rPr>
          <w:rFonts w:hint="eastAsia" w:eastAsia="仿宋" w:cs="仿宋"/>
          <w:szCs w:val="32"/>
        </w:rPr>
        <w:t>；</w:t>
      </w:r>
    </w:p>
    <w:p>
      <w:pPr>
        <w:ind w:firstLine="643" w:firstLineChars="201"/>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oMath>
      <w:r>
        <w:rPr>
          <w:rFonts w:hint="eastAsia" w:eastAsia="仿宋" w:cs="仿宋"/>
          <w:szCs w:val="32"/>
        </w:rPr>
        <w:t>—</w:t>
      </w:r>
      <w:r>
        <w:rPr>
          <w:rFonts w:eastAsia="仿宋" w:cs="仿宋"/>
          <w:szCs w:val="32"/>
        </w:rPr>
        <w:t>项目所在地煤炭平均硫分，单位：%；缺省值取1.2%</w:t>
      </w:r>
      <w:r>
        <w:rPr>
          <w:rFonts w:hint="eastAsia" w:eastAsia="仿宋" w:cs="仿宋"/>
          <w:szCs w:val="32"/>
        </w:rPr>
        <w:t>。</w:t>
      </w:r>
    </w:p>
    <w:p>
      <w:pPr>
        <w:spacing w:line="360" w:lineRule="auto"/>
        <w:ind w:firstLine="643" w:firstLineChars="201"/>
        <w:rPr>
          <w:rFonts w:eastAsia="仿宋" w:cs="仿宋"/>
          <w:szCs w:val="32"/>
        </w:rPr>
      </w:pPr>
      <w:r>
        <w:rPr>
          <w:rFonts w:eastAsia="仿宋"/>
          <w:i/>
          <w:szCs w:val="32"/>
        </w:rPr>
        <w:t>α</w:t>
      </w:r>
      <w:r>
        <w:rPr>
          <w:rFonts w:hint="eastAsia" w:eastAsia="仿宋" w:cs="仿宋"/>
          <w:szCs w:val="32"/>
          <w:vertAlign w:val="subscript"/>
        </w:rPr>
        <w:t>i</w:t>
      </w:r>
      <w:r>
        <w:rPr>
          <w:rFonts w:hint="eastAsia" w:eastAsia="仿宋" w:cs="仿宋"/>
          <w:szCs w:val="32"/>
        </w:rPr>
        <w:t>—</w:t>
      </w:r>
      <w:r>
        <w:rPr>
          <w:rFonts w:eastAsia="仿宋" w:cs="仿宋"/>
          <w:szCs w:val="32"/>
        </w:rPr>
        <w:t>全国火电机组（燃煤）普查平均二氧化硫释放系数（产污系数），缺省值取1.7。</w:t>
      </w:r>
    </w:p>
    <w:p>
      <w:pPr>
        <w:spacing w:line="360" w:lineRule="auto"/>
        <w:ind w:firstLine="643" w:firstLineChars="201"/>
        <w:rPr>
          <w:rFonts w:eastAsia="仿宋" w:cs="仿宋"/>
          <w:szCs w:val="32"/>
        </w:rPr>
      </w:pPr>
      <w:r>
        <w:rPr>
          <w:rFonts w:eastAsia="仿宋" w:cs="仿宋"/>
          <w:szCs w:val="32"/>
        </w:rPr>
        <w:t>（4）氮氧化物削减量</w:t>
      </w:r>
    </w:p>
    <w:p>
      <w:pPr>
        <w:spacing w:line="360" w:lineRule="auto"/>
        <w:ind w:firstLine="643" w:firstLineChars="201"/>
        <w:jc w:val="center"/>
        <w:rPr>
          <w:rFonts w:eastAsia="仿宋" w:cs="仿宋"/>
          <w:szCs w:val="32"/>
        </w:rPr>
      </w:pPr>
      <m:oMathPara>
        <m:oMath>
          <m:sSub>
            <m:sSubPr>
              <m:ctrlPr>
                <w:rPr>
                  <w:rFonts w:ascii="Cambria Math" w:hAnsi="Cambria Math" w:eastAsia="仿宋" w:cs="仿宋"/>
                  <w:szCs w:val="32"/>
                </w:rPr>
              </m:ctrlPr>
            </m:sSubPr>
            <m:e>
              <m:r>
                <m:rPr/>
                <w:rPr>
                  <w:rFonts w:ascii="Cambria Math" w:hAnsi="Cambria Math" w:eastAsia="仿宋" w:cs="仿宋"/>
                  <w:szCs w:val="32"/>
                </w:rPr>
                <m:t>NO</m:t>
              </m:r>
              <m:ctrlPr>
                <w:rPr>
                  <w:rFonts w:ascii="Cambria Math" w:hAnsi="Cambria Math" w:eastAsia="仿宋" w:cs="仿宋"/>
                  <w:szCs w:val="32"/>
                </w:rPr>
              </m:ctrlPr>
            </m:e>
            <m:sub>
              <m:r>
                <m:rPr/>
                <w:rPr>
                  <w:rFonts w:ascii="Cambria Math" w:hAnsi="Cambria Math" w:eastAsia="仿宋" w:cs="仿宋"/>
                  <w:szCs w:val="32"/>
                </w:rPr>
                <m:t>X</m:t>
              </m:r>
              <m:ctrlPr>
                <w:rPr>
                  <w:rFonts w:ascii="Cambria Math" w:hAnsi="Cambria Math" w:eastAsia="仿宋" w:cs="仿宋"/>
                  <w:szCs w:val="32"/>
                </w:rPr>
              </m:ctrlPr>
            </m:sub>
          </m:sSub>
          <m:r>
            <m:rPr>
              <m:sty m:val="p"/>
            </m:rPr>
            <w:rPr>
              <w:rFonts w:ascii="Cambria Math" w:hAnsi="Cambria Math" w:eastAsia="仿宋" w:cs="仿宋"/>
              <w:szCs w:val="32"/>
            </w:rPr>
            <m:t>=</m:t>
          </m:r>
          <m:f>
            <m:fPr>
              <m:type m:val="skw"/>
              <m:ctrlPr>
                <w:rPr>
                  <w:rFonts w:ascii="Cambria Math" w:hAnsi="Cambria Math" w:eastAsia="仿宋" w:cs="仿宋"/>
                  <w:szCs w:val="32"/>
                </w:rPr>
              </m:ctrlPr>
            </m:fPr>
            <m:num>
              <m:sSub>
                <m:sSubPr>
                  <m:ctrlPr>
                    <w:rPr>
                      <w:rFonts w:ascii="Cambria Math" w:hAnsi="Cambria Math" w:eastAsia="仿宋" w:cs="仿宋"/>
                      <w:szCs w:val="32"/>
                    </w:rPr>
                  </m:ctrlPr>
                </m:sSubPr>
                <m:e>
                  <m:r>
                    <m:rPr/>
                    <w:rPr>
                      <w:rFonts w:ascii="Cambria Math" w:hAnsi="Cambria Math" w:eastAsia="仿宋" w:cs="仿宋"/>
                      <w:szCs w:val="32"/>
                    </w:rPr>
                    <m:t>W</m:t>
                  </m:r>
                  <m:ctrlPr>
                    <w:rPr>
                      <w:rFonts w:ascii="Cambria Math" w:hAnsi="Cambria Math" w:eastAsia="仿宋" w:cs="仿宋"/>
                      <w:szCs w:val="32"/>
                    </w:rPr>
                  </m:ctrlPr>
                </m:e>
                <m:sub>
                  <m:r>
                    <m:rPr/>
                    <w:rPr>
                      <w:rFonts w:ascii="Cambria Math" w:hAnsi="Cambria Math" w:eastAsia="仿宋" w:cs="仿宋"/>
                      <w:szCs w:val="32"/>
                    </w:rPr>
                    <m:t>g</m:t>
                  </m:r>
                  <m:ctrlPr>
                    <w:rPr>
                      <w:rFonts w:ascii="Cambria Math" w:hAnsi="Cambria Math" w:eastAsia="仿宋" w:cs="仿宋"/>
                      <w:szCs w:val="32"/>
                    </w:rPr>
                  </m:ctrlPr>
                </m:sub>
              </m:sSub>
              <m:ctrlPr>
                <w:rPr>
                  <w:rFonts w:ascii="Cambria Math" w:hAnsi="Cambria Math" w:eastAsia="仿宋" w:cs="仿宋"/>
                  <w:szCs w:val="32"/>
                </w:rPr>
              </m:ctrlPr>
            </m:num>
            <m:den>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k</m:t>
                  </m:r>
                  <m:ctrlPr>
                    <w:rPr>
                      <w:rFonts w:ascii="Cambria Math" w:hAnsi="Cambria Math" w:eastAsia="仿宋" w:cs="仿宋"/>
                      <w:szCs w:val="32"/>
                    </w:rPr>
                  </m:ctrlPr>
                </m:sub>
              </m:sSub>
              <m:ctrlPr>
                <w:rPr>
                  <w:rFonts w:ascii="Cambria Math" w:hAnsi="Cambria Math" w:eastAsia="仿宋" w:cs="仿宋"/>
                  <w:szCs w:val="32"/>
                </w:rPr>
              </m:ctrlPr>
            </m:den>
          </m:f>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m:t>
          </m:r>
          <m:r>
            <m:rPr/>
            <w:rPr>
              <w:rFonts w:hint="eastAsia" w:ascii="Cambria Math" w:hAnsi="Cambria Math" w:eastAsia="仿宋" w:cs="仿宋"/>
              <w:szCs w:val="32"/>
            </w:rPr>
            <m:t>k</m:t>
          </m:r>
          <m:r>
            <m:rPr>
              <m:sty m:val="p"/>
            </m:rPr>
            <w:rPr>
              <w:rFonts w:ascii="Cambria Math" w:hAnsi="Cambria Math" w:eastAsia="仿宋" w:cs="仿宋"/>
              <w:szCs w:val="32"/>
            </w:rPr>
            <m:t>×</m:t>
          </m:r>
          <m:sSup>
            <m:sSupPr>
              <m:ctrlPr>
                <w:rPr>
                  <w:rFonts w:ascii="Cambria Math" w:hAnsi="Cambria Math" w:eastAsia="仿宋" w:cs="仿宋"/>
                  <w:szCs w:val="32"/>
                </w:rPr>
              </m:ctrlPr>
            </m:sSupPr>
            <m:e>
              <m:r>
                <m:rPr>
                  <m:sty m:val="p"/>
                </m:rPr>
                <w:rPr>
                  <w:rFonts w:ascii="Cambria Math" w:hAnsi="Cambria Math" w:eastAsia="仿宋" w:cs="仿宋"/>
                  <w:szCs w:val="32"/>
                </w:rPr>
                <m:t>10</m:t>
              </m:r>
              <m:ctrlPr>
                <w:rPr>
                  <w:rFonts w:ascii="Cambria Math" w:hAnsi="Cambria Math" w:eastAsia="仿宋" w:cs="仿宋"/>
                  <w:szCs w:val="32"/>
                </w:rPr>
              </m:ctrlPr>
            </m:e>
            <m:sup>
              <m:r>
                <m:rPr>
                  <m:sty m:val="p"/>
                </m:rPr>
                <w:rPr>
                  <w:rFonts w:hint="eastAsia" w:ascii="微软雅黑" w:hAnsi="微软雅黑" w:eastAsia="微软雅黑" w:cs="微软雅黑"/>
                  <w:szCs w:val="32"/>
                </w:rPr>
                <m:t>−</m:t>
              </m:r>
              <m:r>
                <m:rPr>
                  <m:sty m:val="p"/>
                </m:rPr>
                <w:rPr>
                  <w:rFonts w:ascii="Cambria Math" w:hAnsi="Cambria Math" w:eastAsia="仿宋" w:cs="仿宋"/>
                  <w:szCs w:val="32"/>
                </w:rPr>
                <m:t>2</m:t>
              </m:r>
              <m:ctrlPr>
                <w:rPr>
                  <w:rFonts w:ascii="Cambria Math" w:hAnsi="Cambria Math" w:eastAsia="仿宋" w:cs="仿宋"/>
                  <w:szCs w:val="32"/>
                </w:rPr>
              </m:ctrlPr>
            </m:sup>
          </m:sSup>
        </m:oMath>
      </m:oMathPara>
    </w:p>
    <w:p>
      <w:pPr>
        <w:ind w:firstLine="643" w:firstLineChars="201"/>
        <w:rPr>
          <w:rFonts w:eastAsia="仿宋" w:cs="仿宋"/>
          <w:szCs w:val="32"/>
        </w:rPr>
      </w:pPr>
      <w:r>
        <w:rPr>
          <w:rFonts w:eastAsia="仿宋" w:cs="仿宋"/>
          <w:szCs w:val="32"/>
        </w:rPr>
        <w:t>式中：</w:t>
      </w:r>
    </w:p>
    <w:p>
      <w:pPr>
        <w:ind w:firstLine="643" w:firstLineChars="201"/>
        <w:rPr>
          <w:rFonts w:eastAsia="仿宋" w:cs="仿宋"/>
          <w:szCs w:val="32"/>
        </w:rPr>
      </w:pPr>
      <w:r>
        <w:rPr>
          <w:rFonts w:eastAsia="仿宋" w:cs="仿宋"/>
          <w:i/>
          <w:szCs w:val="32"/>
        </w:rPr>
        <w:t>NO</w:t>
      </w:r>
      <w:r>
        <w:rPr>
          <w:rFonts w:hint="eastAsia" w:eastAsia="仿宋" w:cs="仿宋"/>
          <w:i/>
          <w:szCs w:val="32"/>
          <w:vertAlign w:val="subscript"/>
        </w:rPr>
        <w:t>x</w:t>
      </w:r>
      <w:r>
        <w:rPr>
          <w:rFonts w:hint="eastAsia" w:eastAsia="仿宋" w:cs="仿宋"/>
          <w:szCs w:val="32"/>
        </w:rPr>
        <w:t>—</w:t>
      </w:r>
      <w:r>
        <w:rPr>
          <w:rFonts w:eastAsia="仿宋" w:cs="仿宋"/>
          <w:szCs w:val="32"/>
        </w:rPr>
        <w:t>间接氮氧化物年削减量，单位：吨；</w:t>
      </w:r>
    </w:p>
    <w:p>
      <w:pPr>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w:t>
      </w:r>
      <w:r>
        <w:rPr>
          <w:rFonts w:eastAsia="仿宋" w:cs="仿宋"/>
          <w:szCs w:val="32"/>
        </w:rPr>
        <w:t>项目年供电量，单位：万千瓦时；</w:t>
      </w:r>
    </w:p>
    <w:p>
      <w:pPr>
        <w:spacing w:line="360" w:lineRule="auto"/>
        <w:ind w:firstLine="643" w:firstLineChars="201"/>
        <w:rPr>
          <w:rFonts w:eastAsia="仿宋" w:cs="仿宋"/>
          <w:szCs w:val="32"/>
        </w:rPr>
      </w:pPr>
      <w:r>
        <w:rPr>
          <w:rFonts w:eastAsia="仿宋" w:cs="仿宋"/>
          <w:i/>
          <w:szCs w:val="32"/>
        </w:rPr>
        <w:t>β</w:t>
      </w:r>
      <w:r>
        <w:rPr>
          <w:rFonts w:eastAsia="仿宋" w:cs="仿宋"/>
          <w:i/>
          <w:szCs w:val="32"/>
          <w:vertAlign w:val="subscript"/>
        </w:rPr>
        <w:t>i</w:t>
      </w:r>
      <w:r>
        <w:rPr>
          <w:rFonts w:hint="eastAsia" w:eastAsia="仿宋" w:cs="仿宋"/>
          <w:szCs w:val="32"/>
        </w:rPr>
        <w:t>—</w:t>
      </w:r>
      <w:r>
        <w:rPr>
          <w:rFonts w:eastAsia="仿宋" w:cs="仿宋"/>
          <w:szCs w:val="32"/>
        </w:rPr>
        <w:t>项目投资（或投产）年度全国火电平均供电煤耗，单位：千克标准煤/千瓦时；</w:t>
      </w:r>
    </w:p>
    <w:p>
      <w:pPr>
        <w:spacing w:line="360" w:lineRule="auto"/>
        <w:ind w:firstLine="643" w:firstLineChars="201"/>
        <w:rPr>
          <w:rFonts w:eastAsia="仿宋" w:cs="仿宋"/>
          <w:szCs w:val="32"/>
        </w:rPr>
      </w:pPr>
      <w:r>
        <w:rPr>
          <w:rFonts w:eastAsia="仿宋" w:cs="仿宋"/>
          <w:i/>
          <w:szCs w:val="32"/>
        </w:rPr>
        <w:t>β</w:t>
      </w:r>
      <w:r>
        <w:rPr>
          <w:rFonts w:hint="eastAsia" w:eastAsia="仿宋" w:cs="仿宋"/>
          <w:i/>
          <w:szCs w:val="32"/>
          <w:vertAlign w:val="subscript"/>
        </w:rPr>
        <w:t>k</w:t>
      </w:r>
      <w:r>
        <w:rPr>
          <w:rFonts w:hint="eastAsia" w:eastAsia="仿宋" w:cs="仿宋"/>
          <w:szCs w:val="32"/>
        </w:rPr>
        <w:t>—</w:t>
      </w:r>
      <w:r>
        <w:rPr>
          <w:rFonts w:eastAsia="仿宋" w:cs="仿宋"/>
          <w:szCs w:val="32"/>
        </w:rPr>
        <w:t>原煤折标准煤系数，单位：千克标煤/千克，缺省值取0.7143千克标煤/千克</w:t>
      </w:r>
      <w:r>
        <w:rPr>
          <w:rFonts w:hint="eastAsia" w:eastAsia="仿宋" w:cs="仿宋"/>
          <w:szCs w:val="32"/>
        </w:rPr>
        <w:t>；</w:t>
      </w:r>
    </w:p>
    <w:p>
      <w:pPr>
        <w:pStyle w:val="6"/>
        <w:ind w:left="0" w:leftChars="0" w:firstLine="640" w:firstLineChars="200"/>
        <w:rPr>
          <w:rFonts w:eastAsia="仿宋" w:cs="仿宋"/>
          <w:sz w:val="32"/>
          <w:szCs w:val="32"/>
        </w:rPr>
      </w:pPr>
      <w:r>
        <w:rPr>
          <w:rFonts w:hint="eastAsia" w:eastAsia="仿宋" w:cs="仿宋"/>
          <w:i/>
          <w:sz w:val="32"/>
          <w:szCs w:val="32"/>
        </w:rPr>
        <w:t>k</w:t>
      </w:r>
      <w:r>
        <w:rPr>
          <w:rFonts w:hint="eastAsia" w:eastAsia="仿宋" w:cs="仿宋"/>
          <w:sz w:val="32"/>
          <w:szCs w:val="32"/>
        </w:rPr>
        <w:t>—</w:t>
      </w:r>
      <w:r>
        <w:rPr>
          <w:rFonts w:eastAsia="仿宋" w:cs="仿宋"/>
          <w:sz w:val="32"/>
          <w:szCs w:val="32"/>
        </w:rPr>
        <w:t>燃煤火力发电机组的氮氧化物产污系数，单位：千克/吨（注：按照新建燃煤低氮燃烧机组取值，缺省值为3.30千克/吨）</w:t>
      </w:r>
      <w:r>
        <w:rPr>
          <w:rFonts w:hint="eastAsia" w:eastAsia="仿宋" w:cs="仿宋"/>
          <w:sz w:val="32"/>
          <w:szCs w:val="32"/>
        </w:rPr>
        <w:t>。</w:t>
      </w:r>
    </w:p>
    <w:p>
      <w:pPr>
        <w:pStyle w:val="4"/>
      </w:pPr>
      <w:r>
        <w:rPr>
          <w:rFonts w:hint="eastAsia"/>
        </w:rPr>
        <w:t>热电联产项目</w:t>
      </w:r>
    </w:p>
    <w:p>
      <w:pPr>
        <w:pStyle w:val="6"/>
        <w:ind w:left="0" w:leftChars="0" w:firstLine="640" w:firstLineChars="200"/>
        <w:rPr>
          <w:rFonts w:eastAsia="仿宋" w:cs="仿宋"/>
          <w:sz w:val="32"/>
          <w:szCs w:val="32"/>
        </w:rPr>
      </w:pPr>
      <w:r>
        <w:rPr>
          <w:rFonts w:hint="eastAsia" w:eastAsia="仿宋" w:cs="仿宋"/>
          <w:sz w:val="32"/>
          <w:szCs w:val="32"/>
        </w:rPr>
        <w:t>热电联产项目具有标准煤节约效益以及二氧化碳减排、二氧化硫及氮氧化物、细颗粒物减排效益。此类项目以热电（冷）分产为能耗、污染物排放的基准线。</w:t>
      </w:r>
    </w:p>
    <w:p>
      <w:pPr>
        <w:spacing w:line="360" w:lineRule="auto"/>
        <w:ind w:firstLine="643" w:firstLineChars="201"/>
        <w:rPr>
          <w:rFonts w:eastAsia="仿宋" w:cs="仿宋"/>
          <w:szCs w:val="32"/>
        </w:rPr>
      </w:pPr>
      <w:r>
        <w:rPr>
          <w:rFonts w:hint="eastAsia" w:eastAsia="仿宋" w:cs="仿宋"/>
          <w:szCs w:val="32"/>
        </w:rPr>
        <w:t>（1）标准煤节约量测算及参数选择</w:t>
      </w:r>
    </w:p>
    <w:p>
      <w:pPr>
        <w:spacing w:line="360" w:lineRule="auto"/>
        <w:jc w:val="center"/>
        <w:rPr>
          <w:rFonts w:eastAsia="仿宋" w:cs="仿宋"/>
          <w:szCs w:val="32"/>
        </w:rPr>
      </w:pPr>
      <w:r>
        <w:rPr>
          <w:rFonts w:hint="eastAsia" w:eastAsia="仿宋" w:cs="仿宋"/>
          <w:szCs w:val="32"/>
        </w:rPr>
        <w:object>
          <v:shape id="_x0000_i1029" o:spt="75" type="#_x0000_t75" style="height:31.55pt;width:324.2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p>
    <w:p>
      <w:pPr>
        <w:spacing w:line="360" w:lineRule="auto"/>
        <w:ind w:firstLine="640" w:firstLineChars="200"/>
        <w:rPr>
          <w:rFonts w:eastAsia="仿宋" w:cs="仿宋"/>
          <w:szCs w:val="32"/>
        </w:rPr>
      </w:pPr>
      <w:r>
        <w:rPr>
          <w:rFonts w:hint="eastAsia" w:eastAsia="仿宋" w:cs="仿宋"/>
          <w:szCs w:val="32"/>
        </w:rPr>
        <w:t>式中：</w:t>
      </w:r>
    </w:p>
    <w:p>
      <w:pPr>
        <w:spacing w:line="360" w:lineRule="auto"/>
        <w:ind w:firstLine="643" w:firstLineChars="201"/>
        <w:rPr>
          <w:rFonts w:eastAsia="仿宋" w:cs="仿宋"/>
          <w:szCs w:val="32"/>
        </w:rPr>
      </w:pPr>
      <w:r>
        <w:rPr>
          <w:rFonts w:eastAsia="仿宋" w:cs="仿宋"/>
          <w:i/>
          <w:szCs w:val="32"/>
        </w:rPr>
        <w:t>E</w:t>
      </w:r>
      <w:r>
        <w:rPr>
          <w:rFonts w:hint="eastAsia" w:eastAsia="仿宋" w:cs="仿宋"/>
          <w:szCs w:val="32"/>
        </w:rPr>
        <w:t>—项目节能量，单位：吨标准煤；</w:t>
      </w:r>
    </w:p>
    <w:p>
      <w:pPr>
        <w:spacing w:line="360" w:lineRule="auto"/>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—项目年供电量，单位为：万千瓦时；</w:t>
      </w:r>
    </w:p>
    <w:p>
      <w:pPr>
        <w:spacing w:line="360" w:lineRule="auto"/>
        <w:ind w:firstLine="643" w:firstLineChars="201"/>
        <w:rPr>
          <w:rFonts w:eastAsia="仿宋" w:cs="仿宋"/>
          <w:szCs w:val="32"/>
        </w:rPr>
      </w:pPr>
      <w:r>
        <w:rPr>
          <w:rFonts w:hint="eastAsia" w:eastAsia="仿宋" w:cs="仿宋"/>
          <w:i/>
          <w:szCs w:val="32"/>
        </w:rPr>
        <w:t>b</w:t>
      </w:r>
      <w:r>
        <w:rPr>
          <w:rFonts w:hint="eastAsia" w:eastAsia="仿宋" w:cs="仿宋"/>
          <w:i/>
          <w:szCs w:val="32"/>
          <w:vertAlign w:val="subscript"/>
        </w:rPr>
        <w:t>gd</w:t>
      </w:r>
      <w:r>
        <w:rPr>
          <w:rFonts w:hint="eastAsia" w:eastAsia="仿宋" w:cs="仿宋"/>
          <w:szCs w:val="32"/>
        </w:rPr>
        <w:t>—项目供电标准煤耗，单位为：千克标煤/千瓦时；</w:t>
      </w:r>
    </w:p>
    <w:p>
      <w:pPr>
        <w:spacing w:line="360" w:lineRule="auto"/>
        <w:ind w:firstLine="640" w:firstLineChars="200"/>
        <w:rPr>
          <w:rFonts w:eastAsia="仿宋" w:cs="仿宋"/>
          <w:szCs w:val="32"/>
        </w:rPr>
      </w:pPr>
      <w:r>
        <w:rPr>
          <w:rFonts w:hint="eastAsia" w:eastAsia="仿宋" w:cs="仿宋"/>
          <w:i/>
          <w:szCs w:val="32"/>
        </w:rPr>
        <w:t>b</w:t>
      </w:r>
      <w:r>
        <w:rPr>
          <w:rFonts w:hint="eastAsia" w:eastAsia="仿宋" w:cs="仿宋"/>
          <w:i/>
          <w:szCs w:val="32"/>
          <w:vertAlign w:val="subscript"/>
        </w:rPr>
        <w:t>a</w:t>
      </w:r>
      <w:r>
        <w:rPr>
          <w:rFonts w:hint="eastAsia" w:eastAsia="仿宋" w:cs="仿宋"/>
          <w:szCs w:val="32"/>
        </w:rPr>
        <w:t>—项目投产年度全国平均火电供电煤耗，单位为：千克标煤/千瓦时；</w:t>
      </w:r>
    </w:p>
    <w:p>
      <w:pPr>
        <w:spacing w:line="360" w:lineRule="auto"/>
        <w:ind w:firstLine="640" w:firstLineChars="200"/>
        <w:rPr>
          <w:rFonts w:eastAsia="仿宋" w:cs="仿宋"/>
          <w:szCs w:val="32"/>
        </w:rPr>
      </w:pPr>
      <w:r>
        <w:rPr>
          <w:rFonts w:eastAsia="仿宋" w:cs="仿宋"/>
          <w:i/>
          <w:szCs w:val="32"/>
        </w:rPr>
        <w:t>Q</w:t>
      </w:r>
      <w:r>
        <w:rPr>
          <w:rFonts w:hint="eastAsia" w:eastAsia="仿宋" w:cs="仿宋"/>
          <w:szCs w:val="32"/>
        </w:rPr>
        <w:t>—项目年供热（冷）量，单位为：百万吉焦；</w:t>
      </w:r>
    </w:p>
    <w:p>
      <w:pPr>
        <w:spacing w:line="360" w:lineRule="auto"/>
        <w:ind w:firstLine="643" w:firstLineChars="201"/>
        <w:rPr>
          <w:rFonts w:eastAsia="仿宋" w:cs="仿宋"/>
          <w:szCs w:val="32"/>
        </w:rPr>
      </w:pPr>
      <w:r>
        <w:rPr>
          <w:rFonts w:hint="eastAsia" w:eastAsia="仿宋" w:cs="仿宋"/>
          <w:i/>
          <w:szCs w:val="32"/>
        </w:rPr>
        <w:t>b</w:t>
      </w:r>
      <w:r>
        <w:rPr>
          <w:rFonts w:hint="eastAsia" w:eastAsia="仿宋" w:cs="仿宋"/>
          <w:i/>
          <w:szCs w:val="32"/>
          <w:vertAlign w:val="subscript"/>
        </w:rPr>
        <w:t>gr</w:t>
      </w:r>
      <w:r>
        <w:rPr>
          <w:rFonts w:hint="eastAsia" w:eastAsia="仿宋" w:cs="仿宋"/>
          <w:szCs w:val="32"/>
        </w:rPr>
        <w:t>—项目供热煤耗，单位为：千克标煤/吉焦；</w:t>
      </w:r>
    </w:p>
    <w:p>
      <w:pPr>
        <w:spacing w:line="360" w:lineRule="auto"/>
        <w:ind w:firstLine="643" w:firstLineChars="201"/>
        <w:rPr>
          <w:rFonts w:ascii="仿宋_GB2312" w:hAnsi="宋体" w:eastAsia="仿宋_GB2312"/>
          <w:szCs w:val="21"/>
        </w:rPr>
      </w:pPr>
      <w:r>
        <w:rPr>
          <w:rFonts w:hint="eastAsia" w:eastAsia="仿宋" w:cs="仿宋"/>
          <w:i/>
          <w:szCs w:val="32"/>
        </w:rPr>
        <w:t>b</w:t>
      </w:r>
      <w:r>
        <w:rPr>
          <w:rFonts w:hint="eastAsia" w:eastAsia="仿宋" w:cs="仿宋"/>
          <w:i/>
          <w:szCs w:val="32"/>
          <w:vertAlign w:val="subscript"/>
        </w:rPr>
        <w:t>ar</w:t>
      </w:r>
      <w:r>
        <w:rPr>
          <w:rFonts w:hint="eastAsia" w:eastAsia="仿宋" w:cs="仿宋"/>
          <w:szCs w:val="32"/>
        </w:rPr>
        <w:t>—全国集中供热锅炉的平均供热煤耗，单位：千克标煤/吉焦。缺省值取40千克标煤/吉焦</w:t>
      </w:r>
    </w:p>
    <w:p>
      <w:pPr>
        <w:spacing w:line="360" w:lineRule="auto"/>
        <w:ind w:firstLine="643" w:firstLineChars="201"/>
        <w:rPr>
          <w:rFonts w:eastAsia="仿宋" w:cs="仿宋"/>
          <w:szCs w:val="32"/>
        </w:rPr>
      </w:pPr>
      <w:r>
        <w:rPr>
          <w:rFonts w:hint="eastAsia" w:eastAsia="仿宋" w:cs="仿宋"/>
          <w:szCs w:val="32"/>
        </w:rPr>
        <w:t>（2）二氧化碳当量减排测算</w:t>
      </w:r>
    </w:p>
    <w:p>
      <w:pPr>
        <w:ind w:firstLine="643" w:firstLineChars="201"/>
        <w:jc w:val="center"/>
        <w:rPr>
          <w:rFonts w:eastAsia="仿宋" w:cs="仿宋"/>
          <w:szCs w:val="32"/>
        </w:rPr>
      </w:pPr>
      <w:r>
        <w:rPr>
          <w:rFonts w:hint="eastAsia" w:eastAsia="仿宋" w:cs="仿宋"/>
          <w:szCs w:val="32"/>
        </w:rPr>
        <w:object>
          <v:shape id="_x0000_i1030" o:spt="75" type="#_x0000_t75" style="height:46.6pt;width:109.3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26">
            <o:LockedField>false</o:LockedField>
          </o:OLEObject>
        </w:object>
      </w:r>
    </w:p>
    <w:p>
      <w:pPr>
        <w:ind w:firstLine="643" w:firstLineChars="201"/>
        <w:rPr>
          <w:rFonts w:eastAsia="仿宋" w:cs="仿宋"/>
          <w:szCs w:val="32"/>
        </w:rPr>
      </w:pPr>
      <w:r>
        <w:rPr>
          <w:rFonts w:eastAsia="仿宋" w:cs="仿宋"/>
          <w:i/>
          <w:szCs w:val="32"/>
        </w:rPr>
        <w:t>CO</w:t>
      </w:r>
      <w:r>
        <w:rPr>
          <w:rFonts w:eastAsia="仿宋" w:cs="仿宋"/>
          <w:i/>
          <w:szCs w:val="32"/>
          <w:vertAlign w:val="subscript"/>
        </w:rPr>
        <w:t>2</w:t>
      </w:r>
      <w:r>
        <w:rPr>
          <w:rFonts w:hint="eastAsia" w:eastAsia="仿宋" w:cs="仿宋"/>
          <w:szCs w:val="32"/>
        </w:rPr>
        <w:t>—项目二氧化碳减排量，单位：吨.二氧化碳；</w:t>
      </w:r>
    </w:p>
    <w:p>
      <w:pPr>
        <w:ind w:firstLine="643" w:firstLineChars="201"/>
        <w:rPr>
          <w:rFonts w:eastAsia="仿宋" w:cs="仿宋"/>
          <w:szCs w:val="32"/>
        </w:rPr>
      </w:pPr>
      <w:r>
        <w:rPr>
          <w:rFonts w:eastAsia="仿宋" w:cs="仿宋"/>
          <w:i/>
          <w:szCs w:val="32"/>
        </w:rPr>
        <w:t>E</w:t>
      </w:r>
      <w:r>
        <w:rPr>
          <w:rFonts w:eastAsia="仿宋" w:cs="仿宋"/>
          <w:i/>
          <w:szCs w:val="32"/>
          <w:vertAlign w:val="subscript"/>
        </w:rPr>
        <w:t>i</w:t>
      </w:r>
      <w:r>
        <w:rPr>
          <w:rFonts w:hint="eastAsia" w:eastAsia="仿宋" w:cs="仿宋"/>
          <w:szCs w:val="32"/>
        </w:rPr>
        <w:t>—项目某能源消费品种的实物节约量，单位：吨（或万千瓦时或立方米等）；</w:t>
      </w:r>
    </w:p>
    <w:p>
      <w:pPr>
        <w:pStyle w:val="6"/>
        <w:ind w:left="0" w:leftChars="0" w:firstLine="640" w:firstLineChars="200"/>
        <w:rPr>
          <w:rFonts w:eastAsia="仿宋" w:cs="仿宋"/>
          <w:sz w:val="32"/>
          <w:szCs w:val="32"/>
        </w:rPr>
      </w:pPr>
      <w:r>
        <w:rPr>
          <w:rFonts w:eastAsia="仿宋"/>
          <w:i/>
          <w:sz w:val="32"/>
          <w:szCs w:val="32"/>
        </w:rPr>
        <w:t>α</w:t>
      </w:r>
      <w:r>
        <w:rPr>
          <w:rFonts w:hint="eastAsia" w:eastAsia="仿宋" w:cs="仿宋"/>
          <w:sz w:val="32"/>
          <w:szCs w:val="32"/>
          <w:vertAlign w:val="subscript"/>
        </w:rPr>
        <w:t>i</w:t>
      </w:r>
      <w:r>
        <w:rPr>
          <w:rFonts w:hint="eastAsia" w:eastAsia="仿宋" w:cs="仿宋"/>
          <w:sz w:val="32"/>
          <w:szCs w:val="32"/>
        </w:rPr>
        <w:t>—项目消费能源品种的二氧化碳排放系数，单位为：千克二氧化碳/千克（或立方米）。</w:t>
      </w:r>
    </w:p>
    <w:p>
      <w:pPr>
        <w:ind w:firstLine="563" w:firstLineChars="176"/>
        <w:rPr>
          <w:rFonts w:eastAsia="仿宋" w:cs="仿宋"/>
          <w:szCs w:val="32"/>
        </w:rPr>
      </w:pPr>
      <w:r>
        <w:rPr>
          <w:rFonts w:hint="eastAsia" w:eastAsia="仿宋" w:cs="仿宋"/>
          <w:szCs w:val="32"/>
        </w:rPr>
        <w:t>（3）二氧化硫减排量测算及参数选取</w:t>
      </w:r>
    </w:p>
    <w:p>
      <w:pPr>
        <w:jc w:val="center"/>
        <w:rPr>
          <w:rFonts w:eastAsia="仿宋" w:cs="仿宋"/>
          <w:szCs w:val="32"/>
        </w:rPr>
      </w:pPr>
      <w:bookmarkStart w:id="15" w:name="OLE_LINK88"/>
      <w:bookmarkStart w:id="16" w:name="OLE_LINK79"/>
      <w:r>
        <w:rPr>
          <w:rFonts w:hint="eastAsia" w:eastAsia="仿宋" w:cs="仿宋"/>
          <w:szCs w:val="32"/>
        </w:rPr>
        <w:object>
          <v:shape id="_x0000_i1031" o:spt="75" type="#_x0000_t75" style="height:48.9pt;width:182.1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bookmarkEnd w:id="15"/>
      <w:bookmarkEnd w:id="16"/>
    </w:p>
    <w:p>
      <w:pPr>
        <w:spacing w:line="360" w:lineRule="auto"/>
        <w:ind w:firstLine="643" w:firstLineChars="201"/>
        <w:rPr>
          <w:rFonts w:eastAsia="仿宋" w:cs="仿宋"/>
          <w:szCs w:val="32"/>
        </w:rPr>
      </w:pPr>
      <w:r>
        <w:rPr>
          <w:rFonts w:hint="eastAsia" w:eastAsia="仿宋" w:cs="仿宋"/>
          <w:i/>
          <w:szCs w:val="32"/>
        </w:rPr>
        <w:t>S</w:t>
      </w:r>
      <w:r>
        <w:rPr>
          <w:rFonts w:eastAsia="仿宋" w:cs="仿宋"/>
          <w:i/>
          <w:szCs w:val="32"/>
        </w:rPr>
        <w:t>O</w:t>
      </w:r>
      <w:r>
        <w:rPr>
          <w:rFonts w:eastAsia="仿宋" w:cs="仿宋"/>
          <w:i/>
          <w:szCs w:val="32"/>
          <w:vertAlign w:val="subscript"/>
        </w:rPr>
        <w:t>2</w:t>
      </w:r>
      <w:r>
        <w:rPr>
          <w:rFonts w:hint="eastAsia" w:eastAsia="仿宋" w:cs="仿宋"/>
          <w:szCs w:val="32"/>
        </w:rPr>
        <w:t>—二氧化硫削减量，单位：吨，</w:t>
      </w:r>
    </w:p>
    <w:p>
      <w:pPr>
        <w:spacing w:line="360" w:lineRule="auto"/>
        <w:ind w:firstLine="643" w:firstLineChars="201"/>
        <w:rPr>
          <w:rFonts w:eastAsia="仿宋" w:cs="仿宋"/>
          <w:szCs w:val="32"/>
        </w:rPr>
      </w:pPr>
      <w:r>
        <w:rPr>
          <w:rFonts w:eastAsia="仿宋" w:cs="仿宋"/>
          <w:i/>
          <w:szCs w:val="32"/>
        </w:rPr>
        <w:t>E</w:t>
      </w:r>
      <w:r>
        <w:rPr>
          <w:rFonts w:eastAsia="仿宋" w:cs="仿宋"/>
          <w:i/>
          <w:szCs w:val="32"/>
          <w:vertAlign w:val="subscript"/>
        </w:rPr>
        <w:t>i</w:t>
      </w:r>
      <w:r>
        <w:rPr>
          <w:rFonts w:hint="eastAsia" w:eastAsia="仿宋" w:cs="仿宋"/>
          <w:szCs w:val="32"/>
        </w:rPr>
        <w:t>—项目节约能源品种的实物节约量，单位：吨（或万千瓦时等）</w:t>
      </w:r>
    </w:p>
    <w:p>
      <w:pPr>
        <w:spacing w:line="360" w:lineRule="auto"/>
        <w:ind w:firstLine="640" w:firstLineChars="200"/>
        <w:jc w:val="left"/>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oMath>
      <w:r>
        <w:rPr>
          <w:rFonts w:hint="eastAsia" w:eastAsia="仿宋" w:cs="仿宋"/>
          <w:szCs w:val="32"/>
        </w:rPr>
        <w:t>—项目节约能源品种的含硫率；取1.2%。</w:t>
      </w:r>
    </w:p>
    <w:p>
      <w:pPr>
        <w:ind w:firstLine="640" w:firstLineChars="200"/>
        <w:rPr>
          <w:rFonts w:eastAsia="仿宋" w:cs="仿宋"/>
          <w:szCs w:val="32"/>
        </w:rPr>
      </w:pPr>
      <w:r>
        <w:rPr>
          <w:rFonts w:eastAsia="仿宋"/>
          <w:i/>
          <w:szCs w:val="32"/>
        </w:rPr>
        <w:t>α</w:t>
      </w:r>
      <w:r>
        <w:rPr>
          <w:rFonts w:hint="eastAsia" w:eastAsia="仿宋" w:cs="仿宋"/>
          <w:szCs w:val="32"/>
          <w:vertAlign w:val="subscript"/>
        </w:rPr>
        <w:t>i</w:t>
      </w:r>
      <w:r>
        <w:rPr>
          <w:rFonts w:hint="eastAsia" w:eastAsia="仿宋" w:cs="仿宋"/>
          <w:szCs w:val="32"/>
        </w:rPr>
        <w:t>—项目生产工艺消耗能源品种的二氧化硫产污系数，单位：千克/吨燃料</w:t>
      </w:r>
    </w:p>
    <w:p>
      <w:pPr>
        <w:widowControl w:val="0"/>
        <w:numPr>
          <w:ilvl w:val="0"/>
          <w:numId w:val="12"/>
        </w:numPr>
        <w:spacing w:line="360" w:lineRule="auto"/>
        <w:ind w:left="360" w:firstLine="467" w:firstLineChars="146"/>
        <w:rPr>
          <w:rFonts w:eastAsia="仿宋" w:cs="仿宋"/>
          <w:szCs w:val="32"/>
        </w:rPr>
      </w:pPr>
      <w:r>
        <w:rPr>
          <w:rFonts w:hint="eastAsia" w:eastAsia="仿宋" w:cs="仿宋"/>
          <w:szCs w:val="32"/>
        </w:rPr>
        <w:t>氮氧化物</w:t>
      </w:r>
      <w:bookmarkStart w:id="17" w:name="OLE_LINK91"/>
      <w:bookmarkStart w:id="18" w:name="OLE_LINK90"/>
      <w:r>
        <w:rPr>
          <w:rFonts w:hint="eastAsia" w:eastAsia="仿宋" w:cs="仿宋"/>
          <w:szCs w:val="32"/>
        </w:rPr>
        <w:t>减排量测算及参数选择</w:t>
      </w:r>
    </w:p>
    <w:p>
      <w:pPr>
        <w:spacing w:line="360" w:lineRule="auto"/>
        <w:jc w:val="center"/>
        <w:rPr>
          <w:rFonts w:eastAsia="仿宋" w:cs="仿宋"/>
          <w:szCs w:val="32"/>
        </w:rPr>
      </w:pPr>
      <w:r>
        <w:rPr>
          <w:rFonts w:hint="eastAsia" w:eastAsia="仿宋" w:cs="仿宋"/>
          <w:szCs w:val="32"/>
        </w:rPr>
        <w:object>
          <v:shape id="_x0000_i1032" o:spt="75" type="#_x0000_t75" style="height:52.35pt;width:205.6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bookmarkEnd w:id="17"/>
      <w:bookmarkEnd w:id="18"/>
    </w:p>
    <w:p>
      <w:pPr>
        <w:spacing w:line="360" w:lineRule="auto"/>
        <w:ind w:firstLine="640" w:firstLineChars="200"/>
        <w:rPr>
          <w:rFonts w:eastAsia="仿宋" w:cs="仿宋"/>
          <w:szCs w:val="32"/>
        </w:rPr>
      </w:pPr>
      <w:r>
        <w:rPr>
          <w:rFonts w:eastAsia="仿宋" w:cs="仿宋"/>
          <w:i/>
          <w:szCs w:val="32"/>
        </w:rPr>
        <w:t>NO</w:t>
      </w:r>
      <w:r>
        <w:rPr>
          <w:rFonts w:hint="eastAsia" w:eastAsia="仿宋" w:cs="仿宋"/>
          <w:i/>
          <w:szCs w:val="32"/>
          <w:vertAlign w:val="subscript"/>
        </w:rPr>
        <w:t>x</w:t>
      </w:r>
      <w:r>
        <w:rPr>
          <w:rFonts w:hint="eastAsia" w:eastAsia="仿宋" w:cs="仿宋"/>
          <w:szCs w:val="32"/>
        </w:rPr>
        <w:t>—氮氧化物削减量，单位：吨</w:t>
      </w:r>
    </w:p>
    <w:p>
      <w:pPr>
        <w:spacing w:line="360" w:lineRule="auto"/>
        <w:ind w:firstLine="640" w:firstLineChars="200"/>
        <w:rPr>
          <w:rFonts w:eastAsia="仿宋" w:cs="仿宋"/>
          <w:szCs w:val="32"/>
        </w:rPr>
      </w:pPr>
      <w:r>
        <w:rPr>
          <w:rFonts w:eastAsia="仿宋" w:cs="仿宋"/>
          <w:i/>
          <w:szCs w:val="32"/>
        </w:rPr>
        <w:t>N</w:t>
      </w:r>
      <w:r>
        <w:rPr>
          <w:rFonts w:eastAsia="仿宋" w:cs="仿宋"/>
          <w:i/>
          <w:szCs w:val="32"/>
          <w:vertAlign w:val="subscript"/>
        </w:rPr>
        <w:t>i</w:t>
      </w:r>
      <w:r>
        <w:rPr>
          <w:rFonts w:hint="eastAsia" w:eastAsia="仿宋" w:cs="仿宋"/>
          <w:szCs w:val="32"/>
        </w:rPr>
        <w:t>—项目某能源消费品种的实物节约量，单位：吨；</w:t>
      </w:r>
    </w:p>
    <w:p>
      <w:pPr>
        <w:spacing w:line="360" w:lineRule="auto"/>
        <w:ind w:firstLine="640" w:firstLineChars="200"/>
        <w:jc w:val="left"/>
        <w:rPr>
          <w:rFonts w:ascii="仿宋" w:hAnsi="仿宋" w:eastAsia="仿宋" w:cs="仿宋"/>
          <w:sz w:val="24"/>
        </w:rPr>
      </w:pPr>
      <w:r>
        <w:rPr>
          <w:rFonts w:eastAsia="仿宋" w:cs="仿宋"/>
          <w:i/>
          <w:szCs w:val="32"/>
        </w:rPr>
        <w:t>k</w:t>
      </w:r>
      <w:r>
        <w:rPr>
          <w:rFonts w:eastAsia="仿宋" w:cs="仿宋"/>
          <w:i/>
          <w:szCs w:val="32"/>
          <w:vertAlign w:val="subscript"/>
        </w:rPr>
        <w:t>i</w:t>
      </w:r>
      <w:r>
        <w:rPr>
          <w:rFonts w:hint="eastAsia" w:eastAsia="仿宋" w:cs="仿宋"/>
          <w:szCs w:val="32"/>
        </w:rPr>
        <w:t>—项目节约能源品种的氮氧化物产污系数，单位：千克/吨。</w:t>
      </w:r>
    </w:p>
    <w:p>
      <w:pPr>
        <w:pStyle w:val="4"/>
      </w:pPr>
      <w:r>
        <w:t>污水处理项目</w:t>
      </w:r>
    </w:p>
    <w:p>
      <w:pPr>
        <w:spacing w:line="360" w:lineRule="auto"/>
        <w:ind w:firstLine="640" w:firstLineChars="200"/>
        <w:rPr>
          <w:rFonts w:eastAsia="仿宋" w:cs="仿宋"/>
          <w:szCs w:val="32"/>
        </w:rPr>
      </w:pPr>
      <w:r>
        <w:rPr>
          <w:rFonts w:hint="eastAsia" w:eastAsia="仿宋" w:cs="仿宋"/>
          <w:szCs w:val="32"/>
        </w:rPr>
        <w:t>污水处理项目产生的环境效益包括：化学需氧量、氨氮、总氮、总磷减排等环境效益。</w:t>
      </w:r>
    </w:p>
    <w:p>
      <w:pPr>
        <w:spacing w:line="360" w:lineRule="auto"/>
        <w:ind w:firstLine="640" w:firstLineChars="200"/>
        <w:rPr>
          <w:rFonts w:eastAsia="仿宋" w:cs="仿宋"/>
          <w:szCs w:val="32"/>
        </w:rPr>
      </w:pPr>
      <w:r>
        <w:rPr>
          <w:rFonts w:hint="eastAsia" w:eastAsia="仿宋" w:cs="仿宋"/>
          <w:szCs w:val="32"/>
        </w:rPr>
        <w:t>（1）化学需氧量削减量</w:t>
      </w:r>
    </w:p>
    <w:p>
      <w:pPr>
        <w:spacing w:line="360" w:lineRule="auto"/>
        <w:ind w:firstLine="640" w:firstLineChars="200"/>
        <w:jc w:val="center"/>
        <w:rPr>
          <w:rFonts w:eastAsia="仿宋" w:cs="仿宋"/>
          <w:szCs w:val="32"/>
        </w:rPr>
      </w:pPr>
      <w:r>
        <w:rPr>
          <w:rFonts w:hint="eastAsia" w:eastAsia="仿宋" w:cs="仿宋"/>
          <w:szCs w:val="32"/>
        </w:rPr>
        <w:object>
          <v:shape id="_x0000_i1033" o:spt="75" type="#_x0000_t75" style="height:32.35pt;width:184.4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p>
    <w:p>
      <w:pPr>
        <w:spacing w:line="360" w:lineRule="auto"/>
        <w:ind w:firstLine="640" w:firstLineChars="200"/>
        <w:rPr>
          <w:rFonts w:eastAsia="仿宋" w:cs="仿宋"/>
          <w:szCs w:val="32"/>
        </w:rPr>
      </w:pPr>
      <w:r>
        <w:rPr>
          <w:rFonts w:eastAsia="仿宋" w:cs="仿宋"/>
          <w:i/>
          <w:szCs w:val="32"/>
        </w:rPr>
        <w:t>COD</w:t>
      </w:r>
      <w:r>
        <w:rPr>
          <w:rFonts w:hint="eastAsia" w:eastAsia="仿宋" w:cs="仿宋"/>
          <w:szCs w:val="32"/>
        </w:rPr>
        <w:t>—直接化学需氧量削减量，单位为：吨/年；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废水治理项目设计年污水处理量，单位：万吨/年；</w:t>
      </w:r>
    </w:p>
    <w:p>
      <w:pPr>
        <w:spacing w:line="360" w:lineRule="auto"/>
        <w:ind w:firstLine="640" w:firstLineChars="200"/>
        <w:rPr>
          <w:rFonts w:eastAsia="仿宋" w:cs="仿宋"/>
          <w:szCs w:val="32"/>
        </w:rPr>
      </w:pPr>
      <w:r>
        <w:rPr>
          <w:rFonts w:eastAsia="仿宋"/>
          <w:szCs w:val="32"/>
        </w:rPr>
        <w:t>φ</w:t>
      </w:r>
      <w:r>
        <w:rPr>
          <w:rFonts w:eastAsia="仿宋"/>
          <w:szCs w:val="32"/>
          <w:vertAlign w:val="subscript"/>
        </w:rPr>
        <w:t>j</w:t>
      </w:r>
      <w:r>
        <w:rPr>
          <w:rFonts w:hint="eastAsia" w:eastAsia="仿宋" w:cs="仿宋"/>
          <w:szCs w:val="32"/>
        </w:rPr>
        <w:t>—进水化学需氧量平均浓度，单位为：毫克/升；</w:t>
      </w:r>
    </w:p>
    <w:p>
      <w:pPr>
        <w:spacing w:line="360" w:lineRule="auto"/>
        <w:ind w:firstLine="640" w:firstLineChars="200"/>
        <w:rPr>
          <w:rFonts w:eastAsia="仿宋" w:cs="仿宋"/>
          <w:szCs w:val="32"/>
        </w:rPr>
      </w:pPr>
      <w:r>
        <w:rPr>
          <w:rFonts w:eastAsia="仿宋"/>
          <w:szCs w:val="32"/>
        </w:rPr>
        <w:t>φ</w:t>
      </w:r>
      <w:r>
        <w:rPr>
          <w:rFonts w:hint="eastAsia" w:eastAsia="仿宋"/>
          <w:szCs w:val="32"/>
          <w:vertAlign w:val="subscript"/>
        </w:rPr>
        <w:t>ch</w:t>
      </w:r>
      <w:r>
        <w:rPr>
          <w:rFonts w:hint="eastAsia" w:eastAsia="仿宋" w:cs="仿宋"/>
          <w:szCs w:val="32"/>
        </w:rPr>
        <w:t>—设计出水化学需氧量浓度，单位为：毫克/升；</w:t>
      </w:r>
    </w:p>
    <w:p>
      <w:pPr>
        <w:spacing w:line="360" w:lineRule="auto"/>
        <w:ind w:firstLine="640" w:firstLineChars="200"/>
        <w:rPr>
          <w:rFonts w:eastAsia="仿宋" w:cs="仿宋"/>
          <w:szCs w:val="32"/>
        </w:rPr>
      </w:pPr>
      <w:r>
        <w:rPr>
          <w:rFonts w:hint="eastAsia" w:eastAsia="仿宋" w:cs="仿宋"/>
          <w:szCs w:val="32"/>
        </w:rPr>
        <w:t>（2）氨氮削减量</w:t>
      </w:r>
    </w:p>
    <w:p>
      <w:pPr>
        <w:spacing w:line="360" w:lineRule="auto"/>
        <w:ind w:firstLine="640" w:firstLineChars="200"/>
        <w:jc w:val="center"/>
        <w:rPr>
          <w:rFonts w:eastAsia="仿宋" w:cs="仿宋"/>
          <w:szCs w:val="32"/>
        </w:rPr>
      </w:pPr>
      <w:r>
        <w:rPr>
          <w:rFonts w:hint="eastAsia" w:eastAsia="仿宋" w:cs="仿宋"/>
          <w:szCs w:val="32"/>
        </w:rPr>
        <w:object>
          <v:shape id="_x0000_i1034" o:spt="75" type="#_x0000_t75" style="height:32.35pt;width:20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p>
    <w:p>
      <w:pPr>
        <w:spacing w:line="360" w:lineRule="auto"/>
        <w:ind w:firstLine="640" w:firstLineChars="200"/>
        <w:rPr>
          <w:rFonts w:eastAsia="仿宋" w:cs="仿宋"/>
          <w:szCs w:val="32"/>
        </w:rPr>
      </w:pPr>
      <w:r>
        <w:rPr>
          <w:rFonts w:eastAsia="仿宋" w:cs="仿宋"/>
          <w:i/>
          <w:szCs w:val="32"/>
        </w:rPr>
        <w:t>NH</w:t>
      </w:r>
      <w:r>
        <w:rPr>
          <w:rFonts w:eastAsia="仿宋" w:cs="仿宋"/>
          <w:i/>
          <w:szCs w:val="32"/>
          <w:vertAlign w:val="subscript"/>
        </w:rPr>
        <w:t>3</w:t>
      </w:r>
      <w:r>
        <w:rPr>
          <w:rFonts w:eastAsia="仿宋" w:cs="仿宋"/>
          <w:i/>
          <w:szCs w:val="32"/>
        </w:rPr>
        <w:t>-N</w:t>
      </w:r>
      <w:r>
        <w:rPr>
          <w:rFonts w:hint="eastAsia" w:eastAsia="仿宋" w:cs="仿宋"/>
          <w:i/>
          <w:szCs w:val="32"/>
        </w:rPr>
        <w:t>—</w:t>
      </w:r>
      <w:r>
        <w:rPr>
          <w:rFonts w:hint="eastAsia" w:eastAsia="仿宋" w:cs="仿宋"/>
          <w:szCs w:val="32"/>
        </w:rPr>
        <w:t>直接氨氮削减量，单位为：吨/年；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项目年污水处理量，单位：万吨/年；</w:t>
      </w:r>
    </w:p>
    <w:p>
      <w:pPr>
        <w:spacing w:line="360" w:lineRule="auto"/>
        <w:ind w:firstLine="640" w:firstLineChars="200"/>
        <w:rPr>
          <w:rFonts w:eastAsia="仿宋" w:cs="仿宋"/>
          <w:szCs w:val="32"/>
        </w:rPr>
      </w:pPr>
      <w:r>
        <w:rPr>
          <w:rFonts w:eastAsia="仿宋"/>
          <w:szCs w:val="32"/>
        </w:rPr>
        <w:t>φ</w:t>
      </w:r>
      <w:r>
        <w:rPr>
          <w:rFonts w:eastAsia="仿宋"/>
          <w:szCs w:val="32"/>
          <w:vertAlign w:val="subscript"/>
        </w:rPr>
        <w:t>j</w:t>
      </w:r>
      <w:r>
        <w:rPr>
          <w:rFonts w:hint="eastAsia" w:eastAsia="仿宋" w:cs="仿宋"/>
          <w:szCs w:val="32"/>
        </w:rPr>
        <w:t>—进水氨氮平均浓度，单位为：毫克/升；</w:t>
      </w:r>
    </w:p>
    <w:p>
      <w:pPr>
        <w:spacing w:line="360" w:lineRule="auto"/>
        <w:ind w:firstLine="640" w:firstLineChars="200"/>
        <w:rPr>
          <w:rFonts w:eastAsia="仿宋" w:cs="仿宋"/>
          <w:szCs w:val="32"/>
        </w:rPr>
      </w:pPr>
      <w:r>
        <w:rPr>
          <w:rFonts w:eastAsia="仿宋"/>
          <w:szCs w:val="32"/>
        </w:rPr>
        <w:t>φ</w:t>
      </w:r>
      <w:r>
        <w:rPr>
          <w:rFonts w:hint="eastAsia" w:eastAsia="仿宋"/>
          <w:szCs w:val="32"/>
          <w:vertAlign w:val="subscript"/>
        </w:rPr>
        <w:t>ch</w:t>
      </w:r>
      <w:r>
        <w:rPr>
          <w:rFonts w:hint="eastAsia" w:eastAsia="仿宋" w:cs="仿宋"/>
          <w:szCs w:val="32"/>
        </w:rPr>
        <w:t>—设计出水氨氮浓度，单位为：毫克/升；</w:t>
      </w:r>
    </w:p>
    <w:p>
      <w:pPr>
        <w:spacing w:line="360" w:lineRule="auto"/>
        <w:ind w:firstLine="640" w:firstLineChars="200"/>
        <w:rPr>
          <w:rFonts w:eastAsia="仿宋" w:cs="仿宋"/>
          <w:szCs w:val="32"/>
        </w:rPr>
      </w:pPr>
      <w:r>
        <w:rPr>
          <w:rFonts w:hint="eastAsia" w:eastAsia="仿宋" w:cs="仿宋"/>
          <w:szCs w:val="32"/>
        </w:rPr>
        <w:t>（3）总氮削减量</w:t>
      </w:r>
    </w:p>
    <w:p>
      <w:pPr>
        <w:spacing w:line="360" w:lineRule="auto"/>
        <w:ind w:firstLine="640" w:firstLineChars="200"/>
        <w:jc w:val="center"/>
        <w:rPr>
          <w:rFonts w:eastAsia="仿宋" w:cs="仿宋"/>
          <w:szCs w:val="32"/>
        </w:rPr>
      </w:pPr>
      <w:r>
        <w:rPr>
          <w:rFonts w:hint="eastAsia" w:eastAsia="仿宋" w:cs="仿宋"/>
          <w:szCs w:val="32"/>
        </w:rPr>
        <w:object>
          <v:shape id="_x0000_i1035" o:spt="75" type="#_x0000_t75" style="height:33.1pt;width:185.9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p>
    <w:p>
      <w:pPr>
        <w:spacing w:line="360" w:lineRule="auto"/>
        <w:ind w:firstLine="640" w:firstLineChars="200"/>
        <w:rPr>
          <w:rFonts w:eastAsia="仿宋" w:cs="仿宋"/>
          <w:szCs w:val="32"/>
        </w:rPr>
      </w:pPr>
      <w:r>
        <w:rPr>
          <w:rFonts w:eastAsia="仿宋" w:cs="仿宋"/>
          <w:i/>
          <w:szCs w:val="32"/>
        </w:rPr>
        <w:t>TN</w:t>
      </w:r>
      <w:r>
        <w:rPr>
          <w:rFonts w:hint="eastAsia" w:eastAsia="仿宋" w:cs="仿宋"/>
          <w:i/>
          <w:szCs w:val="32"/>
        </w:rPr>
        <w:t>—</w:t>
      </w:r>
      <w:r>
        <w:rPr>
          <w:rFonts w:hint="eastAsia" w:eastAsia="仿宋" w:cs="仿宋"/>
          <w:szCs w:val="32"/>
        </w:rPr>
        <w:t>直接总氮量削减量，单位为：吨/年；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废水治理项目设计年污水处理量，单位：万吨/年；</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hint="eastAsia" w:ascii="Cambria Math" w:hAnsi="Cambria Math" w:eastAsia="仿宋" w:cs="仿宋"/>
                <w:szCs w:val="32"/>
              </w:rPr>
              <m:t>j</m:t>
            </m:r>
            <m:ctrlPr>
              <w:rPr>
                <w:rFonts w:ascii="Cambria Math" w:hAnsi="Cambria Math" w:eastAsia="仿宋" w:cs="仿宋"/>
                <w:szCs w:val="32"/>
              </w:rPr>
            </m:ctrlPr>
          </m:sub>
        </m:sSub>
      </m:oMath>
      <w:r>
        <w:rPr>
          <w:rFonts w:hint="eastAsia" w:eastAsia="仿宋" w:cs="仿宋"/>
          <w:szCs w:val="32"/>
        </w:rPr>
        <w:t>—进水总氮平均浓度，单位为：毫克/升；</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hint="eastAsia" w:ascii="Cambria Math" w:hAnsi="Cambria Math" w:eastAsia="仿宋" w:cs="仿宋"/>
                <w:szCs w:val="32"/>
              </w:rPr>
              <m:t>c</m:t>
            </m:r>
            <m:r>
              <m:rPr/>
              <w:rPr>
                <w:rFonts w:ascii="MS Gothic" w:hAnsi="MS Gothic" w:eastAsia="仿宋" w:cs="MS Gothic"/>
                <w:szCs w:val="32"/>
              </w:rPr>
              <m:t>ℎ</m:t>
            </m:r>
            <m:ctrlPr>
              <w:rPr>
                <w:rFonts w:ascii="Cambria Math" w:hAnsi="Cambria Math" w:eastAsia="仿宋" w:cs="仿宋"/>
                <w:szCs w:val="32"/>
              </w:rPr>
            </m:ctrlPr>
          </m:sub>
        </m:sSub>
      </m:oMath>
      <w:r>
        <w:rPr>
          <w:rFonts w:hint="eastAsia" w:eastAsia="仿宋" w:cs="仿宋"/>
          <w:szCs w:val="32"/>
        </w:rPr>
        <w:t>—出水总氮平均浓度，单位为：毫克/升；</w:t>
      </w:r>
    </w:p>
    <w:p>
      <w:pPr>
        <w:spacing w:line="360" w:lineRule="auto"/>
        <w:ind w:firstLine="640" w:firstLineChars="200"/>
        <w:rPr>
          <w:rFonts w:eastAsia="仿宋" w:cs="仿宋"/>
          <w:szCs w:val="32"/>
        </w:rPr>
      </w:pPr>
      <w:r>
        <w:rPr>
          <w:rFonts w:hint="eastAsia" w:eastAsia="仿宋" w:cs="仿宋"/>
          <w:szCs w:val="32"/>
        </w:rPr>
        <w:t>（4）总磷削减量</w:t>
      </w:r>
    </w:p>
    <w:p>
      <w:pPr>
        <w:spacing w:line="360" w:lineRule="auto"/>
        <w:ind w:firstLine="640" w:firstLineChars="200"/>
        <w:jc w:val="center"/>
        <w:rPr>
          <w:rFonts w:eastAsia="仿宋" w:cs="仿宋"/>
          <w:szCs w:val="32"/>
        </w:rPr>
      </w:pPr>
      <w:r>
        <w:rPr>
          <w:rFonts w:hint="eastAsia" w:eastAsia="仿宋" w:cs="仿宋"/>
          <w:szCs w:val="32"/>
        </w:rPr>
        <w:object>
          <v:shape id="_x0000_i1036" o:spt="75" type="#_x0000_t75" style="height:33.1pt;width:185.95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p>
    <w:p>
      <w:pPr>
        <w:spacing w:line="360" w:lineRule="auto"/>
        <w:ind w:firstLine="640" w:firstLineChars="200"/>
        <w:rPr>
          <w:rFonts w:eastAsia="仿宋" w:cs="仿宋"/>
          <w:szCs w:val="32"/>
        </w:rPr>
      </w:pPr>
      <w:r>
        <w:rPr>
          <w:rFonts w:eastAsia="仿宋" w:cs="仿宋"/>
          <w:i/>
          <w:szCs w:val="32"/>
        </w:rPr>
        <w:t>TP</w:t>
      </w:r>
      <w:r>
        <w:rPr>
          <w:rFonts w:hint="eastAsia" w:eastAsia="仿宋" w:cs="仿宋"/>
          <w:i/>
          <w:szCs w:val="32"/>
        </w:rPr>
        <w:t>—</w:t>
      </w:r>
      <w:r>
        <w:rPr>
          <w:rFonts w:hint="eastAsia" w:eastAsia="仿宋" w:cs="仿宋"/>
          <w:szCs w:val="32"/>
        </w:rPr>
        <w:t>直接总磷量削减量，单位为：吨/年；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废水治理项目设计年污水处理量，单位：万吨/年；</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hint="eastAsia" w:ascii="Cambria Math" w:hAnsi="Cambria Math" w:eastAsia="仿宋" w:cs="仿宋"/>
                <w:szCs w:val="32"/>
              </w:rPr>
              <m:t>μ</m:t>
            </m:r>
            <m:ctrlPr>
              <w:rPr>
                <w:rFonts w:ascii="Cambria Math" w:hAnsi="Cambria Math" w:eastAsia="仿宋" w:cs="仿宋"/>
                <w:szCs w:val="32"/>
              </w:rPr>
            </m:ctrlPr>
          </m:e>
          <m:sub>
            <m:r>
              <m:rPr/>
              <w:rPr>
                <w:rFonts w:hint="eastAsia" w:ascii="Cambria Math" w:hAnsi="Cambria Math" w:eastAsia="仿宋" w:cs="仿宋"/>
                <w:szCs w:val="32"/>
              </w:rPr>
              <m:t>j</m:t>
            </m:r>
            <m:ctrlPr>
              <w:rPr>
                <w:rFonts w:ascii="Cambria Math" w:hAnsi="Cambria Math" w:eastAsia="仿宋" w:cs="仿宋"/>
                <w:szCs w:val="32"/>
              </w:rPr>
            </m:ctrlPr>
          </m:sub>
        </m:sSub>
      </m:oMath>
      <w:r>
        <w:rPr>
          <w:rFonts w:hint="eastAsia" w:eastAsia="仿宋" w:cs="仿宋"/>
          <w:szCs w:val="32"/>
        </w:rPr>
        <w:t>—进水总磷平均浓度，单位为：毫克/升；</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hint="eastAsia" w:ascii="Cambria Math" w:hAnsi="Cambria Math" w:eastAsia="仿宋" w:cs="仿宋"/>
                <w:szCs w:val="32"/>
              </w:rPr>
              <m:t>μ</m:t>
            </m:r>
            <m:ctrlPr>
              <w:rPr>
                <w:rFonts w:ascii="Cambria Math" w:hAnsi="Cambria Math" w:eastAsia="仿宋" w:cs="仿宋"/>
                <w:szCs w:val="32"/>
              </w:rPr>
            </m:ctrlPr>
          </m:e>
          <m:sub>
            <m:r>
              <m:rPr/>
              <w:rPr>
                <w:rFonts w:hint="eastAsia" w:ascii="Cambria Math" w:hAnsi="Cambria Math" w:eastAsia="仿宋" w:cs="仿宋"/>
                <w:szCs w:val="32"/>
              </w:rPr>
              <m:t>c</m:t>
            </m:r>
            <m:r>
              <m:rPr/>
              <w:rPr>
                <w:rFonts w:ascii="MS Gothic" w:hAnsi="MS Gothic" w:eastAsia="仿宋" w:cs="MS Gothic"/>
                <w:szCs w:val="32"/>
              </w:rPr>
              <m:t>ℎ</m:t>
            </m:r>
            <m:ctrlPr>
              <w:rPr>
                <w:rFonts w:ascii="Cambria Math" w:hAnsi="Cambria Math" w:eastAsia="仿宋" w:cs="仿宋"/>
                <w:szCs w:val="32"/>
              </w:rPr>
            </m:ctrlPr>
          </m:sub>
        </m:sSub>
      </m:oMath>
      <w:r>
        <w:rPr>
          <w:rFonts w:hint="eastAsia" w:eastAsia="仿宋" w:cs="仿宋"/>
          <w:szCs w:val="32"/>
        </w:rPr>
        <w:t>—出水总磷平均浓度，单位为：毫克/升；</w:t>
      </w:r>
    </w:p>
    <w:p>
      <w:pPr>
        <w:pStyle w:val="4"/>
      </w:pPr>
      <w:r>
        <w:rPr>
          <w:rFonts w:hint="eastAsia"/>
        </w:rPr>
        <w:t>城市电动公交车项目</w:t>
      </w:r>
    </w:p>
    <w:p>
      <w:pPr>
        <w:spacing w:line="360" w:lineRule="auto"/>
        <w:ind w:firstLine="640" w:firstLineChars="200"/>
        <w:rPr>
          <w:rFonts w:eastAsia="仿宋" w:cs="仿宋"/>
          <w:szCs w:val="32"/>
        </w:rPr>
      </w:pPr>
      <w:r>
        <w:rPr>
          <w:rFonts w:hint="eastAsia" w:eastAsia="仿宋" w:cs="仿宋"/>
          <w:szCs w:val="32"/>
        </w:rPr>
        <w:t>更新购置低排放公共汽车、电车设计节能标准优于原有老旧车辆，可测算购置项目标准煤节约量、二氧化碳当量减排、二氧化硫、氮氧化物、细颗粒物、挥发性有机物减排效益。</w:t>
      </w:r>
    </w:p>
    <w:p>
      <w:pPr>
        <w:spacing w:line="360" w:lineRule="auto"/>
        <w:ind w:firstLine="640" w:firstLineChars="200"/>
      </w:pPr>
      <w:r>
        <w:rPr>
          <w:rFonts w:hint="eastAsia" w:eastAsia="仿宋" w:cs="仿宋"/>
          <w:szCs w:val="32"/>
        </w:rPr>
        <w:t>对于更新购置低排放公共汽车、电车项目，以替代现有燃油车辆，实现相同运输功能为项目边界，并以现有燃油车辆的运行能耗、污染物排放为基准线。</w:t>
      </w:r>
    </w:p>
    <w:p>
      <w:pPr>
        <w:spacing w:line="360" w:lineRule="auto"/>
        <w:ind w:left="284"/>
        <w:rPr>
          <w:rFonts w:eastAsia="仿宋" w:cs="仿宋"/>
          <w:szCs w:val="32"/>
        </w:rPr>
      </w:pPr>
      <w:r>
        <w:rPr>
          <w:rFonts w:hint="eastAsia" w:eastAsia="仿宋" w:cs="仿宋"/>
          <w:szCs w:val="32"/>
        </w:rPr>
        <w:t>（1）标准煤节约量</w:t>
      </w:r>
    </w:p>
    <w:p>
      <w:pPr>
        <w:spacing w:line="360" w:lineRule="auto"/>
        <w:ind w:left="284"/>
        <w:jc w:val="center"/>
        <w:rPr>
          <w:rFonts w:eastAsia="仿宋" w:cs="仿宋"/>
          <w:szCs w:val="32"/>
        </w:rPr>
      </w:pPr>
      <w:r>
        <w:rPr>
          <w:rFonts w:hint="eastAsia" w:eastAsia="仿宋" w:cs="仿宋"/>
          <w:szCs w:val="32"/>
        </w:rPr>
        <w:object>
          <v:shape id="_x0000_i1037" o:spt="75" type="#_x0000_t75" style="height:33.1pt;width:251.0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本公式适用于高效燃油公交车替代低效燃油公交车的情形。式中：</w:t>
      </w:r>
    </w:p>
    <w:p>
      <w:pPr>
        <w:adjustRightInd w:val="0"/>
        <w:snapToGrid w:val="0"/>
        <w:spacing w:line="360" w:lineRule="auto"/>
        <w:ind w:firstLine="640" w:firstLineChars="200"/>
        <w:rPr>
          <w:rFonts w:eastAsia="仿宋" w:cs="仿宋"/>
          <w:szCs w:val="32"/>
        </w:rPr>
      </w:pPr>
      <w:r>
        <w:rPr>
          <w:rFonts w:eastAsia="仿宋" w:cs="仿宋"/>
          <w:i/>
          <w:szCs w:val="32"/>
        </w:rPr>
        <w:t>E</w:t>
      </w:r>
      <w:r>
        <w:rPr>
          <w:rFonts w:hint="eastAsia" w:eastAsia="仿宋" w:cs="仿宋"/>
          <w:i/>
          <w:szCs w:val="32"/>
        </w:rPr>
        <w:t>—</w:t>
      </w:r>
      <w:r>
        <w:rPr>
          <w:rFonts w:hint="eastAsia" w:eastAsia="仿宋" w:cs="仿宋"/>
          <w:szCs w:val="32"/>
        </w:rPr>
        <w:t>项目标准煤节约量，单位：吨标准煤/年；</w:t>
      </w:r>
    </w:p>
    <w:p>
      <w:pPr>
        <w:adjustRightInd w:val="0"/>
        <w:snapToGrid w:val="0"/>
        <w:spacing w:line="360" w:lineRule="auto"/>
        <w:ind w:firstLine="640" w:firstLineChars="200"/>
        <w:rPr>
          <w:rFonts w:eastAsia="仿宋" w:cs="仿宋"/>
          <w:i/>
          <w:szCs w:val="32"/>
        </w:rPr>
      </w:pPr>
      <w:r>
        <w:rPr>
          <w:rFonts w:eastAsia="仿宋" w:cs="仿宋"/>
          <w:i/>
          <w:szCs w:val="32"/>
        </w:rPr>
        <w:t>w</w:t>
      </w:r>
      <w:r>
        <w:rPr>
          <w:rFonts w:hint="eastAsia" w:eastAsia="仿宋" w:cs="仿宋"/>
          <w:i/>
          <w:szCs w:val="32"/>
          <w:vertAlign w:val="subscript"/>
        </w:rPr>
        <w:t>c</w:t>
      </w:r>
      <w:r>
        <w:rPr>
          <w:rFonts w:hint="eastAsia" w:eastAsia="仿宋" w:cs="仿宋"/>
          <w:szCs w:val="32"/>
        </w:rPr>
        <w:t>—车辆更新项目实施前，老旧车辆的设计油耗，单位：升/百公里；若无法获得老旧车辆的设计油耗，可将老旧车辆的实际油耗代入</w:t>
      </w:r>
      <w:r>
        <w:rPr>
          <w:rFonts w:eastAsia="仿宋" w:cs="仿宋"/>
          <w:i/>
          <w:szCs w:val="32"/>
        </w:rPr>
        <w:t>w</w:t>
      </w:r>
      <w:r>
        <w:rPr>
          <w:rFonts w:hint="eastAsia" w:eastAsia="仿宋" w:cs="仿宋"/>
          <w:i/>
          <w:szCs w:val="32"/>
          <w:vertAlign w:val="subscript"/>
        </w:rPr>
        <w:t>c</w:t>
      </w:r>
      <w:r>
        <w:rPr>
          <w:rFonts w:hint="eastAsia" w:eastAsia="仿宋" w:cs="仿宋"/>
          <w:szCs w:val="32"/>
        </w:rPr>
        <w:t>；</w:t>
      </w:r>
      <w:r>
        <w:rPr>
          <w:rFonts w:eastAsia="仿宋" w:cs="仿宋"/>
          <w:i/>
          <w:szCs w:val="32"/>
        </w:rPr>
        <w:t xml:space="preserve"> </w:t>
      </w:r>
    </w:p>
    <w:p>
      <w:pPr>
        <w:adjustRightInd w:val="0"/>
        <w:snapToGrid w:val="0"/>
        <w:spacing w:line="360" w:lineRule="auto"/>
        <w:ind w:firstLine="640" w:firstLineChars="200"/>
        <w:rPr>
          <w:rFonts w:eastAsia="仿宋" w:cs="仿宋"/>
          <w:szCs w:val="32"/>
        </w:rPr>
      </w:pPr>
      <w:r>
        <w:rPr>
          <w:rFonts w:eastAsia="仿宋" w:cs="仿宋"/>
          <w:i/>
          <w:szCs w:val="32"/>
        </w:rPr>
        <w:t>w</w:t>
      </w:r>
      <w:r>
        <w:rPr>
          <w:rFonts w:hint="eastAsia" w:eastAsia="仿宋" w:cs="仿宋"/>
          <w:i/>
          <w:szCs w:val="32"/>
          <w:vertAlign w:val="subscript"/>
        </w:rPr>
        <w:t>h</w:t>
      </w:r>
      <w:r>
        <w:rPr>
          <w:rFonts w:hint="eastAsia" w:eastAsia="仿宋" w:cs="仿宋"/>
          <w:szCs w:val="32"/>
        </w:rPr>
        <w:t>—车辆更新项目实施后，更新购置车辆的设计油耗，单位：升/百公里；</w:t>
      </w:r>
    </w:p>
    <w:p>
      <w:pPr>
        <w:adjustRightInd w:val="0"/>
        <w:snapToGrid w:val="0"/>
        <w:spacing w:line="360" w:lineRule="auto"/>
        <w:ind w:firstLine="640" w:firstLineChars="200"/>
        <w:rPr>
          <w:rFonts w:eastAsia="仿宋" w:cs="仿宋"/>
          <w:szCs w:val="32"/>
        </w:rPr>
      </w:pPr>
      <w:r>
        <w:rPr>
          <w:rFonts w:eastAsia="仿宋"/>
          <w:i/>
          <w:szCs w:val="32"/>
        </w:rPr>
        <w:t>ρ—</w:t>
      </w:r>
      <w:r>
        <w:rPr>
          <w:rFonts w:hint="eastAsia" w:eastAsia="仿宋" w:cs="仿宋"/>
          <w:szCs w:val="32"/>
        </w:rPr>
        <w:t>油品的体积质量转化系数，即油品的密度，与油品标号有关，单位：千克/升</w:t>
      </w:r>
    </w:p>
    <w:p>
      <w:pPr>
        <w:adjustRightInd w:val="0"/>
        <w:snapToGrid w:val="0"/>
        <w:spacing w:line="360" w:lineRule="auto"/>
        <w:ind w:firstLine="640" w:firstLineChars="200"/>
        <w:rPr>
          <w:rFonts w:eastAsia="仿宋" w:cs="仿宋"/>
          <w:szCs w:val="32"/>
        </w:rPr>
      </w:pPr>
      <w:r>
        <w:rPr>
          <w:rFonts w:eastAsia="仿宋" w:cs="仿宋"/>
          <w:i/>
          <w:szCs w:val="32"/>
        </w:rPr>
        <w:t>β</w:t>
      </w:r>
      <w:r>
        <w:rPr>
          <w:rFonts w:hint="eastAsia" w:eastAsia="仿宋" w:cs="仿宋"/>
          <w:szCs w:val="32"/>
        </w:rPr>
        <w:t>—车辆燃油折标系数，单位：千克标准煤/千克。根据《综合能耗计算通则》（GB/T2598），汽油的折标准煤系数为1.4714千克标准煤/千克；柴油的折标准煤系数为1.4571千克标准煤/千克。</w:t>
      </w:r>
    </w:p>
    <w:p>
      <w:pPr>
        <w:adjustRightInd w:val="0"/>
        <w:snapToGrid w:val="0"/>
        <w:spacing w:line="360" w:lineRule="auto"/>
        <w:ind w:firstLine="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更新车辆的数量，单位：辆；</w:t>
      </w:r>
    </w:p>
    <w:p>
      <w:pPr>
        <w:adjustRightInd w:val="0"/>
        <w:snapToGrid w:val="0"/>
        <w:spacing w:line="360" w:lineRule="auto"/>
        <w:ind w:firstLine="200"/>
        <w:rPr>
          <w:rFonts w:eastAsia="仿宋" w:cs="仿宋"/>
          <w:szCs w:val="32"/>
        </w:rPr>
      </w:pPr>
      <w:r>
        <w:rPr>
          <w:rFonts w:hint="eastAsia" w:eastAsia="仿宋" w:cs="仿宋"/>
          <w:i/>
          <w:szCs w:val="32"/>
        </w:rPr>
        <w:t>K—</w:t>
      </w:r>
      <w:r>
        <w:rPr>
          <w:rFonts w:hint="eastAsia" w:eastAsia="仿宋" w:cs="仿宋"/>
          <w:szCs w:val="32"/>
        </w:rPr>
        <w:t>购置车辆预计年运输工作量，单位：万公里。</w:t>
      </w:r>
    </w:p>
    <w:p>
      <w:pPr>
        <w:adjustRightInd w:val="0"/>
        <w:snapToGrid w:val="0"/>
        <w:spacing w:line="360" w:lineRule="auto"/>
        <w:ind w:firstLine="200"/>
        <w:rPr>
          <w:rFonts w:eastAsia="仿宋" w:cs="仿宋"/>
          <w:szCs w:val="32"/>
        </w:rPr>
      </w:pPr>
      <w:r>
        <w:rPr>
          <w:rFonts w:hint="eastAsia" w:eastAsia="仿宋" w:cs="仿宋"/>
          <w:szCs w:val="32"/>
        </w:rPr>
        <w:t>（2）二氧化碳当量减排量</w:t>
      </w:r>
    </w:p>
    <w:p>
      <w:pPr>
        <w:adjustRightInd w:val="0"/>
        <w:snapToGrid w:val="0"/>
        <w:spacing w:line="360" w:lineRule="auto"/>
        <w:ind w:firstLine="200"/>
        <w:jc w:val="center"/>
        <w:rPr>
          <w:rFonts w:eastAsia="仿宋" w:cs="仿宋"/>
          <w:szCs w:val="32"/>
        </w:rPr>
      </w:pPr>
      <w:r>
        <w:rPr>
          <w:rFonts w:hint="eastAsia" w:eastAsia="仿宋" w:cs="仿宋"/>
          <w:szCs w:val="32"/>
        </w:rPr>
        <w:object>
          <v:shape id="_x0000_i1038" o:spt="75" type="#_x0000_t75" style="height:30.05pt;width:256.4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eastAsia="仿宋" w:cs="仿宋"/>
          <w:szCs w:val="32"/>
        </w:rPr>
        <w:fldChar w:fldCharType="begin"/>
      </w:r>
      <w:r>
        <w:rPr>
          <w:rFonts w:hint="eastAsia" w:eastAsia="仿宋" w:cs="仿宋"/>
          <w:szCs w:val="32"/>
        </w:rPr>
        <w:instrText xml:space="preserve"> eq \o\ac(○,1)</w:instrText>
      </w:r>
      <w:r>
        <w:rPr>
          <w:rFonts w:hint="eastAsia" w:eastAsia="仿宋" w:cs="仿宋"/>
          <w:szCs w:val="32"/>
        </w:rPr>
        <w:fldChar w:fldCharType="end"/>
      </w:r>
    </w:p>
    <w:p>
      <w:pPr>
        <w:adjustRightInd w:val="0"/>
        <w:snapToGrid w:val="0"/>
        <w:spacing w:line="360" w:lineRule="auto"/>
        <w:ind w:firstLine="200"/>
        <w:jc w:val="center"/>
        <w:rPr>
          <w:rFonts w:eastAsia="仿宋" w:cs="仿宋"/>
          <w:szCs w:val="32"/>
        </w:rPr>
      </w:pPr>
      <w:r>
        <w:rPr>
          <w:rFonts w:hint="eastAsia" w:eastAsia="仿宋" w:cs="仿宋"/>
          <w:szCs w:val="32"/>
        </w:rPr>
        <w:object>
          <v:shape id="_x0000_i1039" o:spt="75" type="#_x0000_t75" style="height:27.7pt;width:302.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eastAsia="仿宋" w:cs="仿宋"/>
          <w:szCs w:val="32"/>
        </w:rPr>
        <w:t>②</w:t>
      </w:r>
    </w:p>
    <w:p>
      <w:pPr>
        <w:adjustRightInd w:val="0"/>
        <w:snapToGrid w:val="0"/>
        <w:spacing w:line="360" w:lineRule="auto"/>
        <w:ind w:firstLine="640" w:firstLineChars="200"/>
        <w:rPr>
          <w:rFonts w:eastAsia="仿宋" w:cs="仿宋"/>
          <w:szCs w:val="32"/>
        </w:rPr>
      </w:pPr>
      <w:r>
        <w:rPr>
          <w:rFonts w:hint="eastAsia" w:eastAsia="仿宋" w:cs="仿宋"/>
          <w:szCs w:val="32"/>
        </w:rPr>
        <w:t>公式</w:t>
      </w:r>
      <w:r>
        <w:rPr>
          <w:rFonts w:hint="eastAsia" w:ascii="宋体" w:hAnsi="宋体" w:eastAsia="宋体" w:cs="仿宋"/>
          <w:szCs w:val="32"/>
        </w:rPr>
        <w:t>①</w:t>
      </w:r>
      <w:r>
        <w:rPr>
          <w:rFonts w:hint="eastAsia" w:eastAsia="仿宋" w:cs="仿宋"/>
          <w:szCs w:val="32"/>
        </w:rPr>
        <w:t>适用于高效燃油公交车替代低效燃油公交车的情形。公式</w:t>
      </w:r>
      <w:r>
        <w:rPr>
          <w:rFonts w:hint="eastAsia" w:ascii="宋体" w:hAnsi="宋体" w:eastAsia="宋体" w:cs="仿宋"/>
          <w:szCs w:val="32"/>
        </w:rPr>
        <w:t>②</w:t>
      </w:r>
      <w:r>
        <w:rPr>
          <w:rFonts w:hint="eastAsia" w:eastAsia="仿宋" w:cs="仿宋"/>
          <w:szCs w:val="32"/>
        </w:rPr>
        <w:t>适用于电动公交车替代低效燃油公交车的情形式。式中：</w:t>
      </w:r>
    </w:p>
    <w:p>
      <w:pPr>
        <w:adjustRightInd w:val="0"/>
        <w:snapToGrid w:val="0"/>
        <w:spacing w:line="360" w:lineRule="auto"/>
        <w:ind w:firstLine="640" w:firstLineChars="200"/>
        <w:rPr>
          <w:rFonts w:eastAsia="仿宋" w:cs="仿宋"/>
          <w:szCs w:val="32"/>
        </w:rPr>
      </w:pPr>
      <w:r>
        <w:rPr>
          <w:rFonts w:eastAsia="仿宋" w:cs="仿宋"/>
          <w:szCs w:val="32"/>
        </w:rPr>
        <w:t>CO</w:t>
      </w:r>
      <w:r>
        <w:rPr>
          <w:rFonts w:eastAsia="仿宋" w:cs="仿宋"/>
          <w:szCs w:val="32"/>
          <w:vertAlign w:val="subscript"/>
        </w:rPr>
        <w:t>2</w:t>
      </w:r>
      <w:r>
        <w:rPr>
          <w:rFonts w:hint="eastAsia" w:eastAsia="仿宋" w:cs="仿宋"/>
          <w:szCs w:val="32"/>
        </w:rPr>
        <w:t>—项目二氧化碳当量减排量，单位：吨二氧化碳/年；</w:t>
      </w:r>
    </w:p>
    <w:p>
      <w:pPr>
        <w:adjustRightInd w:val="0"/>
        <w:snapToGrid w:val="0"/>
        <w:spacing w:line="360" w:lineRule="auto"/>
        <w:ind w:firstLine="640" w:firstLineChars="200"/>
        <w:rPr>
          <w:rFonts w:eastAsia="仿宋" w:cs="仿宋"/>
          <w:i/>
          <w:szCs w:val="32"/>
        </w:rPr>
      </w:pPr>
      <w:r>
        <w:rPr>
          <w:rFonts w:eastAsia="仿宋" w:cs="仿宋"/>
          <w:i/>
          <w:szCs w:val="32"/>
        </w:rPr>
        <w:t>w</w:t>
      </w:r>
      <w:r>
        <w:rPr>
          <w:rFonts w:hint="eastAsia" w:eastAsia="仿宋" w:cs="仿宋"/>
          <w:i/>
          <w:szCs w:val="32"/>
          <w:vertAlign w:val="subscript"/>
        </w:rPr>
        <w:t>c</w:t>
      </w:r>
      <w:r>
        <w:rPr>
          <w:rFonts w:hint="eastAsia" w:eastAsia="仿宋" w:cs="仿宋"/>
          <w:szCs w:val="32"/>
        </w:rPr>
        <w:t>—车辆更新项目实施前，老旧车辆的设计油耗，单位：升/百公里；若无法获得老旧车辆的设计油耗，可将老旧车辆的实际油耗代入</w:t>
      </w:r>
      <w:r>
        <w:rPr>
          <w:rFonts w:eastAsia="仿宋" w:cs="仿宋"/>
          <w:i/>
          <w:szCs w:val="32"/>
        </w:rPr>
        <w:t>w</w:t>
      </w:r>
      <w:r>
        <w:rPr>
          <w:rFonts w:hint="eastAsia" w:eastAsia="仿宋" w:cs="仿宋"/>
          <w:i/>
          <w:szCs w:val="32"/>
          <w:vertAlign w:val="subscript"/>
        </w:rPr>
        <w:t>c</w:t>
      </w:r>
      <w:r>
        <w:rPr>
          <w:rFonts w:eastAsia="仿宋" w:cs="仿宋"/>
          <w:i/>
          <w:szCs w:val="32"/>
        </w:rPr>
        <w:t xml:space="preserve"> </w:t>
      </w:r>
      <w:r>
        <w:rPr>
          <w:rFonts w:hint="eastAsia" w:eastAsia="仿宋" w:cs="仿宋"/>
          <w:szCs w:val="32"/>
        </w:rPr>
        <w:t>；</w:t>
      </w:r>
    </w:p>
    <w:p>
      <w:pPr>
        <w:adjustRightInd w:val="0"/>
        <w:snapToGrid w:val="0"/>
        <w:spacing w:line="360" w:lineRule="auto"/>
        <w:ind w:firstLine="640" w:firstLineChars="200"/>
        <w:rPr>
          <w:rFonts w:eastAsia="仿宋" w:cs="仿宋"/>
          <w:szCs w:val="32"/>
        </w:rPr>
      </w:pPr>
      <w:r>
        <w:rPr>
          <w:rFonts w:eastAsia="仿宋" w:cs="仿宋"/>
          <w:i/>
          <w:szCs w:val="32"/>
        </w:rPr>
        <w:t>w</w:t>
      </w:r>
      <w:r>
        <w:rPr>
          <w:rFonts w:hint="eastAsia" w:eastAsia="仿宋" w:cs="仿宋"/>
          <w:i/>
          <w:szCs w:val="32"/>
          <w:vertAlign w:val="subscript"/>
        </w:rPr>
        <w:t>h</w:t>
      </w:r>
      <w:r>
        <w:rPr>
          <w:rFonts w:hint="eastAsia" w:eastAsia="仿宋" w:cs="仿宋"/>
          <w:szCs w:val="32"/>
        </w:rPr>
        <w:t>—车辆更新项目实施后，更新购置电动车辆的设计电耗耗，单位：千瓦时/百公里；</w:t>
      </w:r>
    </w:p>
    <w:p>
      <w:pPr>
        <w:adjustRightInd w:val="0"/>
        <w:snapToGrid w:val="0"/>
        <w:spacing w:line="360" w:lineRule="auto"/>
        <w:ind w:firstLine="640" w:firstLineChars="200"/>
        <w:rPr>
          <w:rFonts w:eastAsia="仿宋" w:cs="仿宋"/>
          <w:szCs w:val="32"/>
        </w:rPr>
      </w:pPr>
      <w:r>
        <w:rPr>
          <w:rFonts w:eastAsia="仿宋"/>
          <w:i/>
          <w:szCs w:val="32"/>
        </w:rPr>
        <w:t>ρ—</w:t>
      </w:r>
      <w:r>
        <w:rPr>
          <w:rFonts w:hint="eastAsia" w:eastAsia="仿宋" w:cs="仿宋"/>
          <w:szCs w:val="32"/>
        </w:rPr>
        <w:t>油品的体积质量转化系数，即油品的密度，与油品标号有关，单位：千克/升</w:t>
      </w:r>
    </w:p>
    <w:p>
      <w:pPr>
        <w:adjustRightInd w:val="0"/>
        <w:snapToGrid w:val="0"/>
        <w:spacing w:line="360" w:lineRule="auto"/>
        <w:ind w:firstLine="640" w:firstLineChars="200"/>
        <w:rPr>
          <w:rFonts w:eastAsia="仿宋" w:cs="仿宋"/>
          <w:szCs w:val="32"/>
        </w:rPr>
      </w:pPr>
      <w:r>
        <w:rPr>
          <w:rFonts w:eastAsia="仿宋" w:cs="仿宋"/>
          <w:i/>
          <w:szCs w:val="32"/>
        </w:rPr>
        <w:t>α</w:t>
      </w:r>
      <w:r>
        <w:rPr>
          <w:rFonts w:hint="eastAsia" w:eastAsia="仿宋" w:cs="仿宋"/>
          <w:i/>
          <w:szCs w:val="32"/>
          <w:vertAlign w:val="subscript"/>
        </w:rPr>
        <w:t>oil</w:t>
      </w:r>
      <w:r>
        <w:rPr>
          <w:rFonts w:hint="eastAsia" w:eastAsia="仿宋" w:cs="仿宋"/>
          <w:szCs w:val="32"/>
        </w:rPr>
        <w:t>—动力燃油的温室气体排放系数，单位：吨二氧化碳/吨燃油，柴油、动力汽油的温室气体排放系数分别为： 3.16kgCO</w:t>
      </w:r>
      <w:r>
        <w:rPr>
          <w:rFonts w:hint="eastAsia" w:eastAsia="仿宋" w:cs="仿宋"/>
          <w:szCs w:val="32"/>
          <w:vertAlign w:val="subscript"/>
        </w:rPr>
        <w:t>2</w:t>
      </w:r>
      <w:r>
        <w:rPr>
          <w:rFonts w:hint="eastAsia" w:eastAsia="仿宋" w:cs="仿宋"/>
          <w:szCs w:val="32"/>
        </w:rPr>
        <w:t>/kg、2.98kgCO</w:t>
      </w:r>
      <w:r>
        <w:rPr>
          <w:rFonts w:hint="eastAsia" w:eastAsia="仿宋" w:cs="仿宋"/>
          <w:szCs w:val="32"/>
          <w:vertAlign w:val="subscript"/>
        </w:rPr>
        <w:t>2</w:t>
      </w:r>
      <w:r>
        <w:rPr>
          <w:rFonts w:eastAsia="仿宋" w:cs="仿宋"/>
          <w:szCs w:val="32"/>
        </w:rPr>
        <w:t>/</w:t>
      </w:r>
      <w:r>
        <w:rPr>
          <w:rFonts w:hint="eastAsia" w:eastAsia="仿宋" w:cs="仿宋"/>
          <w:szCs w:val="32"/>
        </w:rPr>
        <w:t>kg。</w:t>
      </w:r>
    </w:p>
    <w:p>
      <w:pPr>
        <w:adjustRightInd w:val="0"/>
        <w:snapToGrid w:val="0"/>
        <w:spacing w:line="360" w:lineRule="auto"/>
        <w:ind w:firstLine="640" w:firstLineChars="200"/>
        <w:rPr>
          <w:rFonts w:eastAsia="仿宋" w:cs="仿宋"/>
          <w:szCs w:val="32"/>
        </w:rPr>
      </w:pPr>
      <w:r>
        <w:rPr>
          <w:rFonts w:eastAsia="仿宋" w:cs="仿宋"/>
          <w:i/>
          <w:szCs w:val="32"/>
        </w:rPr>
        <w:t>α</w:t>
      </w:r>
      <w:r>
        <w:rPr>
          <w:rFonts w:hint="eastAsia" w:eastAsia="仿宋" w:cs="仿宋"/>
          <w:i/>
          <w:szCs w:val="32"/>
          <w:vertAlign w:val="subscript"/>
        </w:rPr>
        <w:t>electricity</w:t>
      </w:r>
      <w:r>
        <w:rPr>
          <w:rFonts w:hint="eastAsia" w:eastAsia="仿宋" w:cs="仿宋"/>
          <w:szCs w:val="32"/>
        </w:rPr>
        <w:t>—电力的温室气体排放系数，单位公斤二氧化碳/千瓦时。排放系数按项目所在地区的电网平均二氧化碳排放因子取值。</w:t>
      </w:r>
    </w:p>
    <w:p>
      <w:pPr>
        <w:adjustRightInd w:val="0"/>
        <w:snapToGrid w:val="0"/>
        <w:spacing w:line="360" w:lineRule="auto"/>
        <w:ind w:firstLine="640" w:firstLineChars="200"/>
        <w:rPr>
          <w:rFonts w:eastAsia="仿宋" w:cs="仿宋"/>
          <w:szCs w:val="32"/>
        </w:rPr>
      </w:pPr>
      <w:r>
        <w:rPr>
          <w:rFonts w:eastAsia="仿宋"/>
          <w:i/>
          <w:szCs w:val="32"/>
        </w:rPr>
        <w:t>K—</w:t>
      </w:r>
      <w:r>
        <w:rPr>
          <w:rFonts w:hint="eastAsia" w:eastAsia="仿宋" w:cs="仿宋"/>
          <w:szCs w:val="32"/>
        </w:rPr>
        <w:t>购置车辆预计年运输工作量，单位：万公里。</w:t>
      </w:r>
    </w:p>
    <w:p>
      <w:pPr>
        <w:pStyle w:val="6"/>
        <w:adjustRightInd w:val="0"/>
        <w:snapToGrid w:val="0"/>
        <w:ind w:left="0" w:leftChars="0" w:firstLine="640" w:firstLineChars="200"/>
      </w:pPr>
      <w:r>
        <w:rPr>
          <w:rFonts w:eastAsia="仿宋"/>
          <w:i/>
          <w:sz w:val="32"/>
          <w:szCs w:val="32"/>
        </w:rPr>
        <w:t>N—</w:t>
      </w:r>
      <w:r>
        <w:rPr>
          <w:rFonts w:hint="eastAsia" w:eastAsia="仿宋" w:cs="仿宋"/>
          <w:sz w:val="32"/>
          <w:szCs w:val="32"/>
        </w:rPr>
        <w:t>更新车辆的数量，单位：辆；</w:t>
      </w:r>
    </w:p>
    <w:p>
      <w:pPr>
        <w:pStyle w:val="4"/>
      </w:pPr>
      <w:r>
        <w:t>碳汇造林项目</w:t>
      </w:r>
    </w:p>
    <w:p>
      <w:pPr>
        <w:spacing w:line="360" w:lineRule="auto"/>
        <w:ind w:left="284" w:firstLine="640" w:firstLineChars="200"/>
        <w:rPr>
          <w:rFonts w:eastAsia="仿宋" w:cs="仿宋"/>
          <w:szCs w:val="32"/>
        </w:rPr>
      </w:pPr>
      <w:r>
        <w:rPr>
          <w:rFonts w:hint="eastAsia" w:eastAsia="仿宋" w:cs="仿宋"/>
          <w:szCs w:val="32"/>
        </w:rPr>
        <w:t>碳汇造林项目可能的环境效益包括：二氧化碳减排效益。主要考虑项目边界范围内林木生物质每年固碳量的变化。二氧化碳减排效益计算公式：</w:t>
      </w:r>
    </w:p>
    <w:p>
      <w:pPr>
        <w:spacing w:line="360" w:lineRule="auto"/>
        <w:ind w:left="284"/>
        <w:jc w:val="center"/>
        <w:rPr>
          <w:rFonts w:eastAsia="仿宋" w:cs="仿宋"/>
          <w:szCs w:val="32"/>
        </w:rPr>
      </w:pPr>
      <w:r>
        <w:rPr>
          <w:rFonts w:hint="eastAsia" w:eastAsia="仿宋" w:cs="仿宋"/>
          <w:szCs w:val="32"/>
        </w:rPr>
        <w:object>
          <v:shape id="_x0000_i1040" o:spt="75" type="#_x0000_t75" style="height:26.95pt;width:375pt;" o:ole="t" filled="f" o:preferrelative="t" stroked="f" coordsize="21600,21600">
            <v:path/>
            <v:fill on="f" focussize="0,0"/>
            <v:stroke on="f" joinstyle="miter"/>
            <v:imagedata r:id="rId46" o:title=""/>
            <o:lock v:ext="edit" aspectratio="t"/>
            <w10:wrap type="none"/>
            <w10:anchorlock/>
          </v:shape>
          <o:OLEObject Type="Embed" ProgID="Equation.3" ShapeID="_x0000_i1040" DrawAspect="Content" ObjectID="_1468075740" r:id="rId45">
            <o:LockedField>false</o:LockedField>
          </o:OLEObject>
        </w:object>
      </w:r>
    </w:p>
    <w:p>
      <w:pPr>
        <w:spacing w:line="360" w:lineRule="auto"/>
        <w:ind w:left="284" w:firstLine="640" w:firstLineChars="200"/>
        <w:rPr>
          <w:rFonts w:eastAsia="仿宋" w:cs="仿宋"/>
          <w:szCs w:val="32"/>
        </w:rPr>
      </w:pPr>
      <w:r>
        <w:rPr>
          <w:rFonts w:hint="eastAsia" w:eastAsia="仿宋" w:cs="仿宋"/>
          <w:szCs w:val="32"/>
        </w:rPr>
        <w:t>式中：</w:t>
      </w:r>
    </w:p>
    <w:p>
      <w:pPr>
        <w:spacing w:line="360" w:lineRule="auto"/>
        <w:ind w:left="284" w:firstLine="640" w:firstLineChars="200"/>
        <w:rPr>
          <w:rFonts w:eastAsia="仿宋" w:cs="仿宋"/>
          <w:szCs w:val="32"/>
        </w:rPr>
      </w:pPr>
      <w:r>
        <w:rPr>
          <w:rFonts w:eastAsia="仿宋" w:cs="仿宋"/>
          <w:szCs w:val="32"/>
        </w:rPr>
        <w:t>CO</w:t>
      </w:r>
      <w:r>
        <w:rPr>
          <w:rFonts w:eastAsia="仿宋" w:cs="仿宋"/>
          <w:szCs w:val="32"/>
          <w:vertAlign w:val="subscript"/>
        </w:rPr>
        <w:t>2</w:t>
      </w:r>
      <w:r>
        <w:rPr>
          <w:rFonts w:hint="eastAsia" w:eastAsia="仿宋" w:cs="仿宋"/>
          <w:szCs w:val="32"/>
        </w:rPr>
        <w:t>—碳汇林区域内各树种造林或森林抚育年增加的碳汇量，单位：吨二氧化碳/年；</w:t>
      </w:r>
    </w:p>
    <w:p>
      <w:pPr>
        <w:spacing w:line="360" w:lineRule="auto"/>
        <w:ind w:left="284" w:firstLine="640" w:firstLineChars="200"/>
        <w:rPr>
          <w:rFonts w:eastAsia="仿宋" w:cs="仿宋"/>
          <w:szCs w:val="32"/>
        </w:rPr>
      </w:pPr>
      <w:r>
        <w:rPr>
          <w:rFonts w:eastAsia="仿宋" w:cs="仿宋"/>
          <w:i/>
          <w:szCs w:val="32"/>
        </w:rPr>
        <w:t>α</w:t>
      </w:r>
      <w:r>
        <w:rPr>
          <w:rFonts w:hint="eastAsia" w:eastAsia="仿宋" w:cs="仿宋"/>
          <w:i/>
          <w:szCs w:val="32"/>
          <w:vertAlign w:val="subscript"/>
        </w:rPr>
        <w:t>i</w:t>
      </w:r>
      <w:r>
        <w:rPr>
          <w:rFonts w:hint="eastAsia" w:eastAsia="仿宋" w:cs="仿宋"/>
          <w:szCs w:val="32"/>
        </w:rPr>
        <w:t>—某树种造林面积或森林抚育面积， 单位：公顷（ha）；</w:t>
      </w:r>
    </w:p>
    <w:p>
      <w:pPr>
        <w:spacing w:line="360" w:lineRule="auto"/>
        <w:ind w:left="284" w:firstLine="640" w:firstLineChars="200"/>
        <w:rPr>
          <w:rFonts w:eastAsia="仿宋" w:cs="仿宋"/>
          <w:szCs w:val="32"/>
        </w:rPr>
      </w:pPr>
      <w:r>
        <w:rPr>
          <w:rFonts w:hint="eastAsia" w:eastAsia="仿宋" w:cs="仿宋"/>
          <w:szCs w:val="32"/>
        </w:rPr>
        <w:t>△</w:t>
      </w:r>
      <w:r>
        <w:rPr>
          <w:rFonts w:eastAsia="仿宋" w:cs="仿宋"/>
          <w:i/>
          <w:szCs w:val="32"/>
        </w:rPr>
        <w:t>V</w:t>
      </w:r>
      <w:r>
        <w:rPr>
          <w:rFonts w:hint="eastAsia" w:eastAsia="仿宋" w:cs="仿宋"/>
          <w:i/>
          <w:szCs w:val="32"/>
          <w:vertAlign w:val="subscript"/>
        </w:rPr>
        <w:t>i</w:t>
      </w:r>
      <w:r>
        <w:rPr>
          <w:rFonts w:hint="eastAsia" w:eastAsia="仿宋" w:cs="仿宋"/>
          <w:szCs w:val="32"/>
        </w:rPr>
        <w:t>—某树种单位面积地上部分蓄积量年增加量，单位：立方米/公顷年；</w:t>
      </w:r>
    </w:p>
    <w:p>
      <w:pPr>
        <w:spacing w:line="360" w:lineRule="auto"/>
        <w:ind w:left="284" w:firstLine="640" w:firstLineChars="200"/>
        <w:rPr>
          <w:rFonts w:eastAsia="仿宋" w:cs="仿宋"/>
          <w:szCs w:val="32"/>
        </w:rPr>
      </w:pPr>
      <w:r>
        <w:rPr>
          <w:rFonts w:eastAsia="仿宋" w:cs="仿宋"/>
          <w:i/>
          <w:szCs w:val="32"/>
        </w:rPr>
        <w:t>D</w:t>
      </w:r>
      <w:r>
        <w:rPr>
          <w:rFonts w:hint="eastAsia" w:eastAsia="仿宋" w:cs="仿宋"/>
          <w:i/>
          <w:szCs w:val="32"/>
          <w:vertAlign w:val="subscript"/>
        </w:rPr>
        <w:t>i</w:t>
      </w:r>
      <w:r>
        <w:rPr>
          <w:rFonts w:hint="eastAsia" w:eastAsia="仿宋" w:cs="仿宋"/>
          <w:szCs w:val="32"/>
        </w:rPr>
        <w:t>—某树种的基本木材密度，单位：吨/立方米；</w:t>
      </w:r>
    </w:p>
    <w:p>
      <w:pPr>
        <w:spacing w:line="360" w:lineRule="auto"/>
        <w:ind w:left="284" w:firstLine="640" w:firstLineChars="200"/>
        <w:rPr>
          <w:rFonts w:eastAsia="仿宋" w:cs="仿宋"/>
          <w:szCs w:val="32"/>
        </w:rPr>
      </w:pPr>
      <w:r>
        <w:rPr>
          <w:rFonts w:eastAsia="仿宋" w:cs="仿宋"/>
          <w:i/>
          <w:szCs w:val="32"/>
        </w:rPr>
        <w:t>BEF</w:t>
      </w:r>
      <w:r>
        <w:rPr>
          <w:rFonts w:hint="eastAsia" w:eastAsia="仿宋" w:cs="仿宋"/>
          <w:i/>
          <w:szCs w:val="32"/>
          <w:vertAlign w:val="subscript"/>
        </w:rPr>
        <w:t>i</w:t>
      </w:r>
      <w:r>
        <w:rPr>
          <w:rFonts w:hint="eastAsia" w:eastAsia="仿宋" w:cs="仿宋"/>
          <w:szCs w:val="32"/>
        </w:rPr>
        <w:t>—某树种的平均生物量扩展因子，无量纲；用于将树干材积转化为林木地上生物量；</w:t>
      </w:r>
    </w:p>
    <w:p>
      <w:pPr>
        <w:spacing w:line="360" w:lineRule="auto"/>
        <w:ind w:left="284" w:firstLine="640" w:firstLineChars="200"/>
        <w:rPr>
          <w:rFonts w:eastAsia="仿宋" w:cs="仿宋"/>
          <w:szCs w:val="32"/>
        </w:rPr>
      </w:pPr>
      <w:r>
        <w:rPr>
          <w:rFonts w:eastAsia="仿宋" w:cs="仿宋"/>
          <w:i/>
          <w:szCs w:val="32"/>
        </w:rPr>
        <w:t>R</w:t>
      </w:r>
      <w:r>
        <w:rPr>
          <w:rFonts w:hint="eastAsia" w:eastAsia="仿宋" w:cs="仿宋"/>
          <w:i/>
          <w:szCs w:val="32"/>
          <w:vertAlign w:val="subscript"/>
        </w:rPr>
        <w:t>i</w:t>
      </w:r>
      <w:r>
        <w:rPr>
          <w:rFonts w:hint="eastAsia" w:eastAsia="仿宋" w:cs="仿宋"/>
          <w:szCs w:val="32"/>
        </w:rPr>
        <w:t>—某树种的根茎比；无量纲。系树种i地下生物量/地上生物量之比；</w:t>
      </w:r>
    </w:p>
    <w:p>
      <w:pPr>
        <w:spacing w:line="360" w:lineRule="auto"/>
        <w:ind w:firstLine="960" w:firstLineChars="300"/>
        <w:rPr>
          <w:rFonts w:eastAsia="仿宋" w:cs="仿宋"/>
          <w:szCs w:val="32"/>
        </w:rPr>
      </w:pPr>
      <w:r>
        <w:rPr>
          <w:rFonts w:hint="eastAsia" w:eastAsia="仿宋" w:cs="仿宋"/>
          <w:szCs w:val="32"/>
        </w:rPr>
        <w:t>0.5—各树种生物量中的含碳率。</w:t>
      </w:r>
    </w:p>
    <w:p>
      <w:pPr>
        <w:spacing w:line="360" w:lineRule="auto"/>
        <w:ind w:left="284" w:firstLine="640" w:firstLineChars="200"/>
      </w:pPr>
      <w:r>
        <w:rPr>
          <w:rFonts w:hint="eastAsia" w:eastAsia="仿宋" w:cs="仿宋"/>
          <w:szCs w:val="32"/>
        </w:rPr>
        <w:t>44/12—CO</w:t>
      </w:r>
      <w:r>
        <w:rPr>
          <w:rFonts w:hint="eastAsia" w:eastAsia="仿宋" w:cs="仿宋"/>
          <w:szCs w:val="32"/>
          <w:vertAlign w:val="subscript"/>
        </w:rPr>
        <w:t>2</w:t>
      </w:r>
      <w:r>
        <w:rPr>
          <w:rFonts w:hint="eastAsia" w:eastAsia="仿宋" w:cs="仿宋"/>
          <w:szCs w:val="32"/>
        </w:rPr>
        <w:t>与C的分子量之比。</w:t>
      </w:r>
    </w:p>
    <w:p>
      <w:pPr>
        <w:pStyle w:val="4"/>
      </w:pPr>
      <w:r>
        <w:rPr>
          <w:rFonts w:hint="eastAsia"/>
        </w:rPr>
        <w:t>废旧资源再生利用</w:t>
      </w:r>
    </w:p>
    <w:p>
      <w:pPr>
        <w:spacing w:line="360" w:lineRule="auto"/>
        <w:ind w:firstLine="640" w:firstLineChars="200"/>
        <w:rPr>
          <w:color w:val="FF0000"/>
          <w:kern w:val="0"/>
          <w:sz w:val="24"/>
          <w:lang w:val="en-GB"/>
        </w:rPr>
      </w:pPr>
      <w:r>
        <w:rPr>
          <w:rFonts w:hint="eastAsia" w:eastAsia="仿宋" w:cs="仿宋"/>
          <w:szCs w:val="32"/>
        </w:rPr>
        <w:t>废旧资源再生利用</w:t>
      </w:r>
      <w:r>
        <w:rPr>
          <w:rFonts w:eastAsia="仿宋" w:cs="仿宋"/>
          <w:szCs w:val="32"/>
        </w:rPr>
        <w:t>项目产生的环境效益主要包括：标准煤节约、二氧化碳当量减排、二氧化硫减排、节水效益等。</w:t>
      </w:r>
    </w:p>
    <w:p>
      <w:pPr>
        <w:adjustRightInd w:val="0"/>
        <w:snapToGrid w:val="0"/>
        <w:spacing w:line="360" w:lineRule="auto"/>
        <w:ind w:firstLine="640" w:firstLineChars="200"/>
        <w:rPr>
          <w:rFonts w:eastAsia="仿宋" w:cs="仿宋"/>
          <w:szCs w:val="32"/>
        </w:rPr>
      </w:pPr>
      <w:r>
        <w:rPr>
          <w:rFonts w:eastAsia="仿宋" w:cs="仿宋"/>
          <w:szCs w:val="32"/>
        </w:rPr>
        <w:t>（1）</w:t>
      </w:r>
      <w:r>
        <w:rPr>
          <w:rFonts w:hint="eastAsia" w:eastAsia="仿宋" w:cs="仿宋"/>
          <w:szCs w:val="32"/>
        </w:rPr>
        <w:t>节约标煤量</w:t>
      </w:r>
    </w:p>
    <w:p>
      <w:pPr>
        <w:adjustRightInd w:val="0"/>
        <w:snapToGrid w:val="0"/>
        <w:spacing w:line="360" w:lineRule="auto"/>
        <w:ind w:firstLine="640" w:firstLineChars="200"/>
        <w:jc w:val="center"/>
        <w:rPr>
          <w:rFonts w:eastAsia="仿宋" w:cs="仿宋"/>
          <w:szCs w:val="32"/>
        </w:rPr>
      </w:pPr>
      <w:r>
        <w:rPr>
          <w:rFonts w:hint="eastAsia" w:eastAsia="仿宋" w:cs="仿宋"/>
          <w:szCs w:val="32"/>
        </w:rPr>
        <w:object>
          <v:shape id="_x0000_i1041" o:spt="75" type="#_x0000_t75" style="height:30.05pt;width:149.4pt;" o:ole="t" filled="f" o:preferrelative="t" stroked="f" coordsize="21600,21600">
            <v:path/>
            <v:fill on="f" focussize="0,0"/>
            <v:stroke on="f" joinstyle="miter"/>
            <v:imagedata r:id="rId48" o:title=""/>
            <o:lock v:ext="edit" aspectratio="t"/>
            <w10:wrap type="none"/>
            <w10:anchorlock/>
          </v:shape>
          <o:OLEObject Type="Embed" ProgID="Equation.3" ShapeID="_x0000_i1041" DrawAspect="Content" ObjectID="_1468075741" r:id="rId47">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式中：</w:t>
      </w:r>
    </w:p>
    <w:p>
      <w:pPr>
        <w:adjustRightInd w:val="0"/>
        <w:snapToGrid w:val="0"/>
        <w:spacing w:line="360" w:lineRule="auto"/>
        <w:ind w:firstLine="640" w:firstLineChars="200"/>
        <w:rPr>
          <w:rFonts w:eastAsia="仿宋" w:cs="仿宋"/>
          <w:szCs w:val="32"/>
        </w:rPr>
      </w:pPr>
      <w:r>
        <w:rPr>
          <w:rFonts w:eastAsia="仿宋" w:cs="仿宋"/>
          <w:i/>
          <w:szCs w:val="32"/>
        </w:rPr>
        <w:t>P</w:t>
      </w:r>
      <w:r>
        <w:rPr>
          <w:rFonts w:hint="eastAsia" w:eastAsia="仿宋" w:cs="仿宋"/>
          <w:szCs w:val="32"/>
        </w:rPr>
        <w:t>—项目再生资源回收量，单位：吨；</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i/>
          <w:szCs w:val="32"/>
        </w:rPr>
        <w:t>E</w:t>
      </w:r>
      <w:r>
        <w:rPr>
          <w:rFonts w:hint="eastAsia" w:eastAsia="仿宋" w:cs="仿宋"/>
          <w:szCs w:val="32"/>
        </w:rPr>
        <w:t>—回收单位资源的节能量，单位：千克标煤/吨再生资源。</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szCs w:val="32"/>
        </w:rPr>
        <w:t>2</w:t>
      </w:r>
      <w:r>
        <w:rPr>
          <w:rFonts w:hint="eastAsia" w:eastAsia="仿宋" w:cs="仿宋"/>
          <w:szCs w:val="32"/>
        </w:rPr>
        <w:t>）节水量测算及参数选择</w:t>
      </w:r>
    </w:p>
    <w:p>
      <w:pPr>
        <w:adjustRightInd w:val="0"/>
        <w:snapToGrid w:val="0"/>
        <w:spacing w:line="360" w:lineRule="auto"/>
        <w:ind w:firstLine="640" w:firstLineChars="200"/>
        <w:jc w:val="center"/>
        <w:rPr>
          <w:rFonts w:eastAsia="仿宋" w:cs="仿宋"/>
          <w:szCs w:val="32"/>
        </w:rPr>
      </w:pPr>
      <w:r>
        <w:rPr>
          <w:rFonts w:hint="eastAsia" w:eastAsia="仿宋" w:cs="仿宋"/>
          <w:szCs w:val="32"/>
        </w:rPr>
        <w:object>
          <v:shape id="_x0000_i1042" o:spt="75" type="#_x0000_t75" style="height:31.55pt;width:94.3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式中：</w:t>
      </w:r>
    </w:p>
    <w:p>
      <w:pPr>
        <w:adjustRightInd w:val="0"/>
        <w:snapToGrid w:val="0"/>
        <w:spacing w:line="360" w:lineRule="auto"/>
        <w:ind w:firstLine="640" w:firstLineChars="200"/>
        <w:rPr>
          <w:rFonts w:eastAsia="仿宋" w:cs="仿宋"/>
          <w:szCs w:val="32"/>
        </w:rPr>
      </w:pPr>
      <w:r>
        <w:rPr>
          <w:rFonts w:eastAsia="仿宋" w:cs="仿宋"/>
          <w:i/>
          <w:szCs w:val="32"/>
        </w:rPr>
        <w:t>P</w:t>
      </w:r>
      <w:r>
        <w:rPr>
          <w:rFonts w:hint="eastAsia" w:eastAsia="仿宋" w:cs="仿宋"/>
          <w:szCs w:val="32"/>
        </w:rPr>
        <w:t>—项目再生资源回收量，单位：吨；</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hint="eastAsia" w:eastAsia="仿宋" w:cs="仿宋"/>
          <w:i/>
          <w:szCs w:val="32"/>
        </w:rPr>
        <w:t>w</w:t>
      </w:r>
      <w:r>
        <w:rPr>
          <w:rFonts w:hint="eastAsia" w:eastAsia="仿宋" w:cs="仿宋"/>
          <w:szCs w:val="32"/>
        </w:rPr>
        <w:t>—回收单位资源的节水量；单位：立方米/吨回收资源。（</w:t>
      </w:r>
      <w:r>
        <w:rPr>
          <w:rFonts w:eastAsia="仿宋" w:cs="仿宋"/>
          <w:szCs w:val="32"/>
        </w:rPr>
        <w:t>3</w:t>
      </w:r>
      <w:r>
        <w:rPr>
          <w:rFonts w:hint="eastAsia" w:eastAsia="仿宋" w:cs="仿宋"/>
          <w:szCs w:val="32"/>
        </w:rPr>
        <w:t>）二氧化硫减排量测算及参数选择</w:t>
      </w:r>
    </w:p>
    <w:p>
      <w:pPr>
        <w:adjustRightInd w:val="0"/>
        <w:snapToGrid w:val="0"/>
        <w:spacing w:line="360" w:lineRule="auto"/>
        <w:ind w:firstLine="640" w:firstLineChars="200"/>
        <w:jc w:val="center"/>
        <w:rPr>
          <w:rFonts w:eastAsia="仿宋" w:cs="仿宋"/>
          <w:szCs w:val="32"/>
        </w:rPr>
      </w:pPr>
      <w:r>
        <w:rPr>
          <w:rFonts w:hint="eastAsia" w:eastAsia="仿宋" w:cs="仿宋"/>
          <w:szCs w:val="32"/>
        </w:rPr>
        <w:object>
          <v:shape id="_x0000_i1043" o:spt="75" type="#_x0000_t75" style="height:27.7pt;width:101.25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式中：</w:t>
      </w:r>
    </w:p>
    <w:p>
      <w:pPr>
        <w:adjustRightInd w:val="0"/>
        <w:snapToGrid w:val="0"/>
        <w:spacing w:line="360" w:lineRule="auto"/>
        <w:ind w:firstLine="640" w:firstLineChars="200"/>
        <w:rPr>
          <w:rFonts w:eastAsia="仿宋" w:cs="仿宋"/>
          <w:szCs w:val="32"/>
        </w:rPr>
      </w:pPr>
      <w:r>
        <w:rPr>
          <w:rFonts w:eastAsia="仿宋" w:cs="仿宋"/>
          <w:i/>
          <w:szCs w:val="32"/>
        </w:rPr>
        <w:t>P</w:t>
      </w:r>
      <w:r>
        <w:rPr>
          <w:rFonts w:hint="eastAsia" w:eastAsia="仿宋" w:cs="仿宋"/>
          <w:szCs w:val="32"/>
        </w:rPr>
        <w:t>—项目再生资源回收量，单位：吨；</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i/>
          <w:szCs w:val="32"/>
        </w:rPr>
        <w:t>SO</w:t>
      </w:r>
      <w:r>
        <w:rPr>
          <w:rFonts w:eastAsia="仿宋" w:cs="仿宋"/>
          <w:i/>
          <w:szCs w:val="32"/>
          <w:vertAlign w:val="subscript"/>
        </w:rPr>
        <w:t>2</w:t>
      </w:r>
      <w:r>
        <w:rPr>
          <w:rFonts w:hint="eastAsia" w:eastAsia="仿宋" w:cs="仿宋"/>
          <w:szCs w:val="32"/>
        </w:rPr>
        <w:t>—回收单位资源的二氧化硫减排量；单位：吨二氧化硫/吨回收资源。</w:t>
      </w:r>
    </w:p>
    <w:p>
      <w:pPr>
        <w:pStyle w:val="6"/>
        <w:ind w:left="320"/>
        <w:rPr>
          <w:lang w:val="en-GB"/>
        </w:rPr>
      </w:pPr>
    </w:p>
    <w:p>
      <w:pPr>
        <w:pStyle w:val="3"/>
      </w:pPr>
      <w:bookmarkStart w:id="19" w:name="_Toc22836"/>
      <w:r>
        <w:rPr>
          <w:rFonts w:hint="eastAsia"/>
        </w:rPr>
        <w:t>附录3 投融资活动温室气体排放测算与表达</w:t>
      </w:r>
      <w:bookmarkEnd w:id="19"/>
    </w:p>
    <w:p>
      <w:pPr>
        <w:pStyle w:val="32"/>
        <w:spacing w:line="360" w:lineRule="auto"/>
        <w:rPr>
          <w:rFonts w:eastAsia="仿宋" w:cs="仿宋"/>
          <w:szCs w:val="32"/>
        </w:rPr>
      </w:pPr>
      <w:r>
        <w:rPr>
          <w:rFonts w:hint="eastAsia" w:eastAsia="仿宋" w:cs="仿宋"/>
          <w:szCs w:val="32"/>
        </w:rPr>
        <w:t>参照《金融机构碳核算技术指南（试行）》，我行开展投融资活动温室气体排放量的测算，其中，企业/项目温室气体排放测量按照G</w:t>
      </w:r>
      <w:r>
        <w:rPr>
          <w:rFonts w:eastAsia="仿宋" w:cs="仿宋"/>
          <w:szCs w:val="32"/>
        </w:rPr>
        <w:t>B/T 32150及相关企业温室气体排放核算和报告标准</w:t>
      </w:r>
      <w:r>
        <w:rPr>
          <w:rFonts w:hint="eastAsia" w:eastAsia="仿宋" w:cs="仿宋"/>
          <w:szCs w:val="32"/>
        </w:rPr>
        <w:t>、企业温室气体排放核算方法与报告指南（试行）、ISO 14064-1等要求，核算其报告期内的二氧化碳排放量。核算所涉及的生产活动数据基于客户提供的碳排放量或能耗数据计算得出，相关因子和缺省值查找相关标准获取。</w:t>
      </w:r>
    </w:p>
    <w:p>
      <w:pPr>
        <w:pStyle w:val="32"/>
        <w:spacing w:line="360" w:lineRule="auto"/>
        <w:rPr>
          <w:rFonts w:eastAsia="仿宋" w:cs="仿宋"/>
          <w:szCs w:val="32"/>
        </w:rPr>
      </w:pPr>
      <w:r>
        <w:rPr>
          <w:rFonts w:eastAsia="仿宋" w:cs="仿宋"/>
          <w:szCs w:val="32"/>
        </w:rPr>
        <w:t>我行投融资活动支持的项目</w:t>
      </w:r>
      <w:r>
        <w:rPr>
          <w:rFonts w:hint="eastAsia" w:eastAsia="仿宋" w:cs="仿宋"/>
          <w:szCs w:val="32"/>
        </w:rPr>
        <w:t>/企业碳排放量依据我行报告期末对该企业或项目的月均融资额与企业总资产或项目总投资的比例折算取得，具体测算公式如下：</w:t>
      </w:r>
    </w:p>
    <w:p>
      <w:pPr>
        <w:pStyle w:val="9"/>
        <w:numPr>
          <w:ilvl w:val="0"/>
          <w:numId w:val="13"/>
        </w:numPr>
        <w:spacing w:line="360" w:lineRule="auto"/>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项目融资业务：</w:t>
      </w:r>
    </w:p>
    <w:p>
      <w:pPr>
        <w:pStyle w:val="9"/>
        <w:spacing w:line="360" w:lineRule="auto"/>
        <w:ind w:left="210" w:firstLine="560"/>
        <w:jc w:val="center"/>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object>
          <v:shape id="_x0000_i1044" o:spt="75" type="#_x0000_t75" style="height:52.35pt;width:164.4pt;" o:ole="t" filled="f" o:preferrelative="t" stroked="f" coordsize="21600,21600">
            <v:path/>
            <v:fill on="f" focussize="0,0"/>
            <v:stroke on="f" joinstyle="miter"/>
            <v:imagedata r:id="rId54" o:title=""/>
            <o:lock v:ext="edit" aspectratio="t"/>
            <w10:wrap type="none"/>
            <w10:anchorlock/>
          </v:shape>
          <o:OLEObject Type="Embed" ProgID="Equation.3" ShapeID="_x0000_i1044" DrawAspect="Content" ObjectID="_1468075744" r:id="rId53">
            <o:LockedField>false</o:LockedField>
          </o:OLEObject>
        </w:object>
      </w:r>
    </w:p>
    <w:p>
      <w:pPr>
        <w:pStyle w:val="9"/>
        <w:spacing w:line="360" w:lineRule="auto"/>
        <w:ind w:left="210" w:firstLine="56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式中：</w:t>
      </w:r>
    </w:p>
    <w:p>
      <w:pPr>
        <w:pStyle w:val="9"/>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ascii="Times New Roman" w:hAnsi="Times New Roman" w:eastAsia="仿宋" w:cs="仿宋"/>
          <w:kern w:val="0"/>
          <w:sz w:val="32"/>
          <w:szCs w:val="32"/>
          <w:vertAlign w:val="subscript"/>
          <w:lang w:val="en-GB"/>
        </w:rPr>
        <w:t>项目业务</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报告期内，项目融资业务对应的碳排放量，单位tCO</w:t>
      </w:r>
      <w:r>
        <w:rPr>
          <w:rFonts w:ascii="Times New Roman" w:hAnsi="Times New Roman" w:eastAsia="仿宋" w:cs="仿宋"/>
          <w:kern w:val="0"/>
          <w:sz w:val="32"/>
          <w:szCs w:val="32"/>
          <w:vertAlign w:val="subscript"/>
          <w:lang w:val="en-GB"/>
        </w:rPr>
        <w:t>2</w:t>
      </w:r>
      <w:r>
        <w:rPr>
          <w:rFonts w:ascii="Times New Roman" w:hAnsi="Times New Roman" w:eastAsia="仿宋" w:cs="仿宋"/>
          <w:kern w:val="0"/>
          <w:sz w:val="32"/>
          <w:szCs w:val="32"/>
          <w:lang w:val="en-GB"/>
        </w:rPr>
        <w:t>e；</w:t>
      </w:r>
    </w:p>
    <w:p>
      <w:pPr>
        <w:pStyle w:val="9"/>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ascii="Times New Roman" w:hAnsi="Times New Roman" w:eastAsia="仿宋" w:cs="仿宋"/>
          <w:kern w:val="0"/>
          <w:sz w:val="32"/>
          <w:szCs w:val="32"/>
          <w:vertAlign w:val="subscript"/>
          <w:lang w:val="en-GB"/>
        </w:rPr>
        <w:t>项目</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报告期内项目的碳排放量，单位tCO</w:t>
      </w:r>
      <w:r>
        <w:rPr>
          <w:rFonts w:ascii="Times New Roman" w:hAnsi="Times New Roman" w:eastAsia="仿宋" w:cs="仿宋"/>
          <w:kern w:val="0"/>
          <w:sz w:val="32"/>
          <w:szCs w:val="32"/>
          <w:vertAlign w:val="subscript"/>
          <w:lang w:val="en-GB"/>
        </w:rPr>
        <w:t>2</w:t>
      </w:r>
      <w:r>
        <w:rPr>
          <w:rFonts w:ascii="Times New Roman" w:hAnsi="Times New Roman" w:eastAsia="仿宋" w:cs="仿宋"/>
          <w:kern w:val="0"/>
          <w:sz w:val="32"/>
          <w:szCs w:val="32"/>
          <w:lang w:val="en-GB"/>
        </w:rPr>
        <w:t>e；</w:t>
      </w:r>
    </w:p>
    <w:p>
      <w:pPr>
        <w:pStyle w:val="9"/>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V</w:t>
      </w:r>
      <w:r>
        <w:rPr>
          <w:rFonts w:ascii="Times New Roman" w:hAnsi="Times New Roman" w:eastAsia="仿宋" w:cs="仿宋"/>
          <w:kern w:val="0"/>
          <w:sz w:val="32"/>
          <w:szCs w:val="32"/>
          <w:vertAlign w:val="subscript"/>
          <w:lang w:val="en-GB"/>
        </w:rPr>
        <w:t>投资</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报告期末本行对项目的</w:t>
      </w:r>
      <w:r>
        <w:rPr>
          <w:rFonts w:hint="eastAsia" w:ascii="Times New Roman" w:hAnsi="Times New Roman" w:eastAsia="仿宋" w:cs="仿宋"/>
          <w:kern w:val="0"/>
          <w:sz w:val="32"/>
          <w:szCs w:val="32"/>
          <w:lang w:val="en-GB"/>
        </w:rPr>
        <w:t>月均项目融资额</w:t>
      </w:r>
      <w:r>
        <w:rPr>
          <w:rFonts w:ascii="Times New Roman" w:hAnsi="Times New Roman" w:eastAsia="仿宋" w:cs="仿宋"/>
          <w:kern w:val="0"/>
          <w:sz w:val="32"/>
          <w:szCs w:val="32"/>
          <w:lang w:val="en-GB"/>
        </w:rPr>
        <w:t>，单位万元；</w:t>
      </w:r>
    </w:p>
    <w:p>
      <w:pPr>
        <w:pStyle w:val="9"/>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V</w:t>
      </w:r>
      <w:r>
        <w:rPr>
          <w:rFonts w:ascii="Times New Roman" w:hAnsi="Times New Roman" w:eastAsia="仿宋" w:cs="仿宋"/>
          <w:kern w:val="0"/>
          <w:sz w:val="32"/>
          <w:szCs w:val="32"/>
          <w:vertAlign w:val="subscript"/>
          <w:lang w:val="en-GB"/>
        </w:rPr>
        <w:t>总投资</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报告期内项目总投资额，单位万元。</w:t>
      </w:r>
    </w:p>
    <w:p>
      <w:pPr>
        <w:pStyle w:val="9"/>
        <w:numPr>
          <w:ilvl w:val="0"/>
          <w:numId w:val="13"/>
        </w:numPr>
        <w:spacing w:line="360" w:lineRule="auto"/>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非项目融资业务：</w:t>
      </w:r>
    </w:p>
    <w:p>
      <w:pPr>
        <w:pStyle w:val="9"/>
        <w:spacing w:line="360" w:lineRule="auto"/>
        <w:ind w:left="210" w:firstLine="560"/>
        <w:jc w:val="center"/>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object>
          <v:shape id="_x0000_i1045" o:spt="75" type="#_x0000_t75" style="height:50.45pt;width:160.55pt;" o:ole="t" filled="f" o:preferrelative="t" stroked="f" coordsize="21600,21600">
            <v:path/>
            <v:fill on="f" focussize="0,0"/>
            <v:stroke on="f" joinstyle="miter"/>
            <v:imagedata r:id="rId56" o:title=""/>
            <o:lock v:ext="edit" aspectratio="t"/>
            <w10:wrap type="none"/>
            <w10:anchorlock/>
          </v:shape>
          <o:OLEObject Type="Embed" ProgID="Equation.3" ShapeID="_x0000_i1045" DrawAspect="Content" ObjectID="_1468075745" r:id="rId55">
            <o:LockedField>false</o:LockedField>
          </o:OLEObject>
        </w:object>
      </w:r>
    </w:p>
    <w:p>
      <w:pPr>
        <w:pStyle w:val="9"/>
        <w:spacing w:line="360" w:lineRule="auto"/>
        <w:ind w:left="210" w:firstLine="56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式中：</w:t>
      </w:r>
    </w:p>
    <w:p>
      <w:pPr>
        <w:pStyle w:val="9"/>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ascii="Times New Roman" w:hAnsi="Times New Roman" w:eastAsia="仿宋" w:cs="仿宋"/>
          <w:kern w:val="0"/>
          <w:sz w:val="32"/>
          <w:szCs w:val="32"/>
          <w:vertAlign w:val="subscript"/>
          <w:lang w:val="en-GB"/>
        </w:rPr>
        <w:t>非项目业务</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报告期内，非项目融资业务对应的碳排放量，单位tCO</w:t>
      </w:r>
      <w:r>
        <w:rPr>
          <w:rFonts w:ascii="Times New Roman" w:hAnsi="Times New Roman" w:eastAsia="仿宋" w:cs="仿宋"/>
          <w:kern w:val="0"/>
          <w:sz w:val="32"/>
          <w:szCs w:val="32"/>
          <w:vertAlign w:val="subscript"/>
          <w:lang w:val="en-GB"/>
        </w:rPr>
        <w:t>2</w:t>
      </w:r>
      <w:r>
        <w:rPr>
          <w:rFonts w:ascii="Times New Roman" w:hAnsi="Times New Roman" w:eastAsia="仿宋" w:cs="仿宋"/>
          <w:kern w:val="0"/>
          <w:sz w:val="32"/>
          <w:szCs w:val="32"/>
          <w:lang w:val="en-GB"/>
        </w:rPr>
        <w:t>e；</w:t>
      </w:r>
    </w:p>
    <w:p>
      <w:pPr>
        <w:pStyle w:val="9"/>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ascii="Times New Roman" w:hAnsi="Times New Roman" w:eastAsia="仿宋" w:cs="仿宋"/>
          <w:kern w:val="0"/>
          <w:sz w:val="32"/>
          <w:szCs w:val="32"/>
          <w:vertAlign w:val="subscript"/>
          <w:lang w:val="en-GB"/>
        </w:rPr>
        <w:t>主体</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报告期内非项目融资业务</w:t>
      </w:r>
      <w:r>
        <w:rPr>
          <w:rFonts w:hint="eastAsia" w:ascii="Times New Roman" w:hAnsi="Times New Roman" w:eastAsia="仿宋" w:cs="仿宋"/>
          <w:kern w:val="0"/>
          <w:sz w:val="32"/>
          <w:szCs w:val="32"/>
          <w:lang w:val="en-GB"/>
        </w:rPr>
        <w:t>企业</w:t>
      </w:r>
      <w:r>
        <w:rPr>
          <w:rFonts w:ascii="Times New Roman" w:hAnsi="Times New Roman" w:eastAsia="仿宋" w:cs="仿宋"/>
          <w:kern w:val="0"/>
          <w:sz w:val="32"/>
          <w:szCs w:val="32"/>
          <w:lang w:val="en-GB"/>
        </w:rPr>
        <w:t>的碳排放量，单位tCO2e；</w:t>
      </w:r>
    </w:p>
    <w:p>
      <w:pPr>
        <w:pStyle w:val="9"/>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V</w:t>
      </w:r>
      <w:r>
        <w:rPr>
          <w:rFonts w:ascii="Times New Roman" w:hAnsi="Times New Roman" w:eastAsia="仿宋" w:cs="仿宋"/>
          <w:kern w:val="0"/>
          <w:sz w:val="32"/>
          <w:szCs w:val="32"/>
          <w:vertAlign w:val="subscript"/>
          <w:lang w:val="en-GB"/>
        </w:rPr>
        <w:t>融资</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报告期末本行对</w:t>
      </w:r>
      <w:r>
        <w:rPr>
          <w:rFonts w:hint="eastAsia" w:ascii="Times New Roman" w:hAnsi="Times New Roman" w:eastAsia="仿宋" w:cs="仿宋"/>
          <w:kern w:val="0"/>
          <w:sz w:val="32"/>
          <w:szCs w:val="32"/>
          <w:lang w:val="en-GB"/>
        </w:rPr>
        <w:t>企业</w:t>
      </w:r>
      <w:r>
        <w:rPr>
          <w:rFonts w:ascii="Times New Roman" w:hAnsi="Times New Roman" w:eastAsia="仿宋" w:cs="仿宋"/>
          <w:kern w:val="0"/>
          <w:sz w:val="32"/>
          <w:szCs w:val="32"/>
          <w:lang w:val="en-GB"/>
        </w:rPr>
        <w:t>的</w:t>
      </w:r>
      <w:r>
        <w:rPr>
          <w:rFonts w:hint="eastAsia" w:ascii="Times New Roman" w:hAnsi="Times New Roman" w:eastAsia="仿宋" w:cs="仿宋"/>
          <w:kern w:val="0"/>
          <w:sz w:val="32"/>
          <w:szCs w:val="32"/>
          <w:lang w:val="en-GB"/>
        </w:rPr>
        <w:t>月均非项目融资额</w:t>
      </w:r>
      <w:r>
        <w:rPr>
          <w:rFonts w:ascii="Times New Roman" w:hAnsi="Times New Roman" w:eastAsia="仿宋" w:cs="仿宋"/>
          <w:kern w:val="0"/>
          <w:sz w:val="32"/>
          <w:szCs w:val="32"/>
          <w:lang w:val="en-GB"/>
        </w:rPr>
        <w:t>，单位万元；</w:t>
      </w:r>
    </w:p>
    <w:p>
      <w:pPr>
        <w:pStyle w:val="9"/>
        <w:spacing w:line="360" w:lineRule="auto"/>
        <w:ind w:firstLine="64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仿宋"/>
          <w:kern w:val="0"/>
          <w:sz w:val="32"/>
          <w:szCs w:val="32"/>
          <w:lang w:val="en-GB"/>
        </w:rPr>
        <w:t>V</w:t>
      </w:r>
      <w:r>
        <w:rPr>
          <w:rFonts w:ascii="Times New Roman" w:hAnsi="Times New Roman" w:eastAsia="仿宋" w:cs="仿宋"/>
          <w:kern w:val="0"/>
          <w:sz w:val="32"/>
          <w:szCs w:val="32"/>
          <w:vertAlign w:val="subscript"/>
          <w:lang w:val="en-GB"/>
        </w:rPr>
        <w:t>收入</w:t>
      </w:r>
      <w:r>
        <w:rPr>
          <w:rFonts w:hint="eastAsia" w:ascii="Times New Roman" w:hAnsi="Times New Roman" w:eastAsia="仿宋" w:cs="仿宋"/>
          <w:kern w:val="0"/>
          <w:sz w:val="32"/>
          <w:szCs w:val="32"/>
          <w:lang w:val="en-GB"/>
        </w:rPr>
        <w:t>—</w:t>
      </w:r>
      <w:r>
        <w:rPr>
          <w:rFonts w:ascii="Times New Roman" w:hAnsi="Times New Roman" w:eastAsia="仿宋" w:cs="仿宋"/>
          <w:kern w:val="0"/>
          <w:sz w:val="32"/>
          <w:szCs w:val="32"/>
          <w:lang w:val="en-GB"/>
        </w:rPr>
        <w:t>报告期内</w:t>
      </w:r>
      <w:r>
        <w:rPr>
          <w:rFonts w:hint="eastAsia" w:ascii="Times New Roman" w:hAnsi="Times New Roman" w:eastAsia="仿宋" w:cs="仿宋"/>
          <w:kern w:val="0"/>
          <w:sz w:val="32"/>
          <w:szCs w:val="32"/>
          <w:lang w:val="en-GB"/>
        </w:rPr>
        <w:t>企业</w:t>
      </w:r>
      <w:r>
        <w:rPr>
          <w:rFonts w:ascii="Times New Roman" w:hAnsi="Times New Roman" w:eastAsia="仿宋" w:cs="仿宋"/>
          <w:kern w:val="0"/>
          <w:sz w:val="32"/>
          <w:szCs w:val="32"/>
          <w:lang w:val="en-GB"/>
        </w:rPr>
        <w:t>的主营业务收入，单位万元。</w:t>
      </w:r>
    </w:p>
    <w:p/>
    <w:p/>
    <w:p>
      <w:pPr>
        <w:pStyle w:val="3"/>
        <w:outlineLvl w:val="9"/>
        <w:rPr>
          <w:rFonts w:eastAsia="仿宋" w:cs="仿宋"/>
          <w:szCs w:val="32"/>
        </w:rPr>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16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3"/>
      </w:pPr>
      <w:r>
        <w:rPr>
          <w:rStyle w:val="21"/>
        </w:rPr>
        <w:footnoteRef/>
      </w:r>
      <w:r>
        <w:t xml:space="preserve"> 表内</w:t>
      </w:r>
      <w:r>
        <w:rPr>
          <w:rFonts w:hint="eastAsia"/>
        </w:rPr>
        <w:t>绿色信贷余额及表内信贷余额相关数据按照人民银行口径统计；发行绿色金融债余额和投资绿色债券余额按照本行口径统计；绿色办公运营相关数据为</w:t>
      </w:r>
      <w:r>
        <w:t>总行大楼</w:t>
      </w:r>
      <w:r>
        <w:rPr>
          <w:rFonts w:hint="eastAsia"/>
        </w:rPr>
        <w:t>。</w:t>
      </w:r>
    </w:p>
  </w:footnote>
  <w:footnote w:id="1">
    <w:p>
      <w:pPr>
        <w:pStyle w:val="13"/>
      </w:pPr>
      <w:r>
        <w:rPr>
          <w:rStyle w:val="21"/>
        </w:rPr>
        <w:footnoteRef/>
      </w:r>
      <w:r>
        <w:t>1.</w:t>
      </w:r>
      <w:r>
        <w:rPr>
          <w:rFonts w:hint="eastAsia"/>
        </w:rPr>
        <w:t>投融资活动产生的环境影响核算口径为对公贷款表内清单；</w:t>
      </w:r>
    </w:p>
    <w:p>
      <w:pPr>
        <w:pStyle w:val="13"/>
      </w:pPr>
      <w:r>
        <w:rPr>
          <w:rFonts w:hint="eastAsia"/>
        </w:rPr>
        <w:t>2.项目和非项目投融资活动折合排放二氧化碳当量核算按照《金融机构碳核算指南》的核算边界和核算方法开展；</w:t>
      </w:r>
    </w:p>
  </w:footnote>
  <w:footnote w:id="2">
    <w:p>
      <w:pPr>
        <w:pStyle w:val="13"/>
      </w:pPr>
      <w:r>
        <w:rPr>
          <w:rStyle w:val="21"/>
        </w:rPr>
        <w:footnoteRef/>
      </w:r>
      <w:r>
        <w:rPr>
          <w:rFonts w:hint="eastAsia"/>
        </w:rPr>
        <w:t>1.</w:t>
      </w:r>
      <w:r>
        <w:t xml:space="preserve"> </w:t>
      </w:r>
      <w:r>
        <w:rPr>
          <w:u w:color="auto"/>
        </w:rPr>
        <w:t>2023</w:t>
      </w:r>
      <w:r>
        <w:rPr>
          <w:rFonts w:hint="eastAsia"/>
        </w:rPr>
        <w:t>年经营活动产生的直接和间接自然资源消耗统计对象范围为</w:t>
      </w:r>
      <w:r>
        <w:rPr>
          <w:u w:color="auto"/>
        </w:rPr>
        <w:t>总行大楼；</w:t>
      </w:r>
    </w:p>
    <w:p>
      <w:pPr>
        <w:pStyle w:val="13"/>
      </w:pPr>
      <w:r>
        <w:rPr>
          <w:rFonts w:hint="eastAsia"/>
        </w:rPr>
        <w:t>2.人均排放量的核算以排放量对应的统计口径为</w:t>
      </w:r>
      <w:r>
        <w:rPr>
          <w:u w:color="auto"/>
        </w:rPr>
        <w:t>2</w:t>
      </w:r>
      <w:r>
        <w:rPr>
          <w:rFonts w:hint="eastAsia"/>
          <w:u w:color="auto"/>
          <w:lang w:val="en-US" w:eastAsia="zh-CN"/>
        </w:rPr>
        <w:t>08</w:t>
      </w:r>
      <w:r>
        <w:rPr>
          <w:u w:color="auto"/>
        </w:rPr>
        <w:t>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FC69D64B"/>
    <w:multiLevelType w:val="singleLevel"/>
    <w:tmpl w:val="FC69D64B"/>
    <w:lvl w:ilvl="0" w:tentative="0">
      <w:start w:val="2"/>
      <w:numFmt w:val="decimal"/>
      <w:suff w:val="nothing"/>
      <w:lvlText w:val="%1、"/>
      <w:lvlJc w:val="left"/>
    </w:lvl>
  </w:abstractNum>
  <w:abstractNum w:abstractNumId="2">
    <w:nsid w:val="150169D6"/>
    <w:multiLevelType w:val="multilevel"/>
    <w:tmpl w:val="150169D6"/>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3">
    <w:nsid w:val="1774674F"/>
    <w:multiLevelType w:val="multilevel"/>
    <w:tmpl w:val="1774674F"/>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4">
    <w:nsid w:val="402548CA"/>
    <w:multiLevelType w:val="singleLevel"/>
    <w:tmpl w:val="402548CA"/>
    <w:lvl w:ilvl="0" w:tentative="0">
      <w:start w:val="9"/>
      <w:numFmt w:val="chineseCounting"/>
      <w:suff w:val="nothing"/>
      <w:lvlText w:val="%1、"/>
      <w:lvlJc w:val="left"/>
      <w:rPr>
        <w:rFonts w:hint="eastAsia"/>
      </w:rPr>
    </w:lvl>
  </w:abstractNum>
  <w:abstractNum w:abstractNumId="5">
    <w:nsid w:val="45BB4DDD"/>
    <w:multiLevelType w:val="multilevel"/>
    <w:tmpl w:val="45BB4DDD"/>
    <w:lvl w:ilvl="0" w:tentative="0">
      <w:start w:val="1"/>
      <w:numFmt w:val="decimal"/>
      <w:lvlText w:val="表 %1."/>
      <w:lvlJc w:val="left"/>
      <w:pPr>
        <w:ind w:left="4247" w:hanging="420"/>
      </w:pPr>
      <w:rPr>
        <w:rFonts w:hint="eastAsia"/>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6">
    <w:nsid w:val="5C6316AE"/>
    <w:multiLevelType w:val="multilevel"/>
    <w:tmpl w:val="5C6316AE"/>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7">
    <w:nsid w:val="6F061A45"/>
    <w:multiLevelType w:val="multilevel"/>
    <w:tmpl w:val="6F061A45"/>
    <w:lvl w:ilvl="0" w:tentative="0">
      <w:start w:val="1"/>
      <w:numFmt w:val="chineseCountingThousand"/>
      <w:lvlText w:val="(%1)"/>
      <w:lvlJc w:val="left"/>
      <w:pPr>
        <w:ind w:left="1060" w:hanging="420"/>
      </w:pPr>
    </w:lvl>
    <w:lvl w:ilvl="1" w:tentative="0">
      <w:start w:val="1"/>
      <w:numFmt w:val="chineseCountingThousand"/>
      <w:lvlText w:val="(%2)"/>
      <w:lvlJc w:val="left"/>
      <w:pPr>
        <w:ind w:left="1480" w:hanging="420"/>
      </w:pPr>
    </w:lvl>
    <w:lvl w:ilvl="2" w:tentative="0">
      <w:start w:val="1"/>
      <w:numFmt w:val="japaneseCounting"/>
      <w:lvlText w:val="（%3）"/>
      <w:lvlJc w:val="left"/>
      <w:pPr>
        <w:ind w:left="2560" w:hanging="1080"/>
      </w:pPr>
      <w:rPr>
        <w:rFonts w:hint="default"/>
      </w:r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FC17F2D"/>
    <w:multiLevelType w:val="multilevel"/>
    <w:tmpl w:val="6FC17F2D"/>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9">
    <w:nsid w:val="7BC5608F"/>
    <w:multiLevelType w:val="singleLevel"/>
    <w:tmpl w:val="7BC5608F"/>
    <w:lvl w:ilvl="0" w:tentative="0">
      <w:start w:val="4"/>
      <w:numFmt w:val="decimal"/>
      <w:suff w:val="nothing"/>
      <w:lvlText w:val="（%1）"/>
      <w:lvlJc w:val="left"/>
    </w:lvl>
  </w:abstractNum>
  <w:abstractNum w:abstractNumId="10">
    <w:nsid w:val="7CBB735C"/>
    <w:multiLevelType w:val="multilevel"/>
    <w:tmpl w:val="7CBB73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D50308D"/>
    <w:multiLevelType w:val="multilevel"/>
    <w:tmpl w:val="7D50308D"/>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12">
    <w:nsid w:val="7F63BB41"/>
    <w:multiLevelType w:val="multilevel"/>
    <w:tmpl w:val="7F63BB4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5"/>
  </w:num>
  <w:num w:numId="3">
    <w:abstractNumId w:val="2"/>
  </w:num>
  <w:num w:numId="4">
    <w:abstractNumId w:val="6"/>
  </w:num>
  <w:num w:numId="5">
    <w:abstractNumId w:val="11"/>
  </w:num>
  <w:num w:numId="6">
    <w:abstractNumId w:val="0"/>
  </w:num>
  <w:num w:numId="7">
    <w:abstractNumId w:val="1"/>
  </w:num>
  <w:num w:numId="8">
    <w:abstractNumId w:val="8"/>
  </w:num>
  <w:num w:numId="9">
    <w:abstractNumId w:val="3"/>
  </w:num>
  <w:num w:numId="10">
    <w:abstractNumId w:val="4"/>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2YzEwMzkyMDA5Y2ZjYjU0ZGNmYjY2YzVlYmFkN2YifQ=="/>
  </w:docVars>
  <w:rsids>
    <w:rsidRoot w:val="006F52BD"/>
    <w:rsid w:val="00026F04"/>
    <w:rsid w:val="0003060C"/>
    <w:rsid w:val="00030FF3"/>
    <w:rsid w:val="00040D0C"/>
    <w:rsid w:val="0004689B"/>
    <w:rsid w:val="00052AD6"/>
    <w:rsid w:val="00062C2E"/>
    <w:rsid w:val="00082D92"/>
    <w:rsid w:val="00083877"/>
    <w:rsid w:val="00087F9E"/>
    <w:rsid w:val="0009721A"/>
    <w:rsid w:val="000A0D1A"/>
    <w:rsid w:val="000A1314"/>
    <w:rsid w:val="000B0F29"/>
    <w:rsid w:val="000D6731"/>
    <w:rsid w:val="000F023E"/>
    <w:rsid w:val="000F1C37"/>
    <w:rsid w:val="00101628"/>
    <w:rsid w:val="00107478"/>
    <w:rsid w:val="00107CEB"/>
    <w:rsid w:val="00112322"/>
    <w:rsid w:val="001123A0"/>
    <w:rsid w:val="001129F7"/>
    <w:rsid w:val="001239A8"/>
    <w:rsid w:val="00123A07"/>
    <w:rsid w:val="00131410"/>
    <w:rsid w:val="0014575D"/>
    <w:rsid w:val="0017287E"/>
    <w:rsid w:val="00177263"/>
    <w:rsid w:val="00177525"/>
    <w:rsid w:val="001776F0"/>
    <w:rsid w:val="001776F9"/>
    <w:rsid w:val="00180CC4"/>
    <w:rsid w:val="00182999"/>
    <w:rsid w:val="00183CC0"/>
    <w:rsid w:val="0019754C"/>
    <w:rsid w:val="001B4BF5"/>
    <w:rsid w:val="001B4D32"/>
    <w:rsid w:val="001C0B0F"/>
    <w:rsid w:val="001C1444"/>
    <w:rsid w:val="001E41E7"/>
    <w:rsid w:val="001E597E"/>
    <w:rsid w:val="001E6997"/>
    <w:rsid w:val="001F1AD3"/>
    <w:rsid w:val="00205F87"/>
    <w:rsid w:val="0020799D"/>
    <w:rsid w:val="00214FA9"/>
    <w:rsid w:val="00221CF3"/>
    <w:rsid w:val="0023009F"/>
    <w:rsid w:val="00230B3B"/>
    <w:rsid w:val="002644E9"/>
    <w:rsid w:val="002736B2"/>
    <w:rsid w:val="00275772"/>
    <w:rsid w:val="00294309"/>
    <w:rsid w:val="00296638"/>
    <w:rsid w:val="002A1DEF"/>
    <w:rsid w:val="002A2F25"/>
    <w:rsid w:val="002A3F76"/>
    <w:rsid w:val="002B24C7"/>
    <w:rsid w:val="002B24D9"/>
    <w:rsid w:val="002C18F1"/>
    <w:rsid w:val="002F7E05"/>
    <w:rsid w:val="00304E83"/>
    <w:rsid w:val="00313304"/>
    <w:rsid w:val="00316E95"/>
    <w:rsid w:val="00324987"/>
    <w:rsid w:val="00354B77"/>
    <w:rsid w:val="00356B66"/>
    <w:rsid w:val="00361146"/>
    <w:rsid w:val="003679D5"/>
    <w:rsid w:val="00377266"/>
    <w:rsid w:val="0038203A"/>
    <w:rsid w:val="00395063"/>
    <w:rsid w:val="00396C71"/>
    <w:rsid w:val="003A604D"/>
    <w:rsid w:val="003C175B"/>
    <w:rsid w:val="003D3A8B"/>
    <w:rsid w:val="003D7F5C"/>
    <w:rsid w:val="003E5161"/>
    <w:rsid w:val="003E7298"/>
    <w:rsid w:val="003E74B4"/>
    <w:rsid w:val="003F14D1"/>
    <w:rsid w:val="003F22A0"/>
    <w:rsid w:val="004156AA"/>
    <w:rsid w:val="00420018"/>
    <w:rsid w:val="00422ECE"/>
    <w:rsid w:val="00423783"/>
    <w:rsid w:val="0043021F"/>
    <w:rsid w:val="00440833"/>
    <w:rsid w:val="0044119C"/>
    <w:rsid w:val="0045375D"/>
    <w:rsid w:val="00455BE4"/>
    <w:rsid w:val="00467C3B"/>
    <w:rsid w:val="00477474"/>
    <w:rsid w:val="00481495"/>
    <w:rsid w:val="004A5BA9"/>
    <w:rsid w:val="004B1E6F"/>
    <w:rsid w:val="004C09F0"/>
    <w:rsid w:val="004D0E68"/>
    <w:rsid w:val="004D43A1"/>
    <w:rsid w:val="004D65CE"/>
    <w:rsid w:val="004E1C09"/>
    <w:rsid w:val="004E587A"/>
    <w:rsid w:val="004F215F"/>
    <w:rsid w:val="004F6440"/>
    <w:rsid w:val="005066E5"/>
    <w:rsid w:val="00507A24"/>
    <w:rsid w:val="00511518"/>
    <w:rsid w:val="00511813"/>
    <w:rsid w:val="00513492"/>
    <w:rsid w:val="0051628C"/>
    <w:rsid w:val="0055477E"/>
    <w:rsid w:val="00556BAB"/>
    <w:rsid w:val="00561077"/>
    <w:rsid w:val="0056418F"/>
    <w:rsid w:val="0056500E"/>
    <w:rsid w:val="00565EBE"/>
    <w:rsid w:val="005665EA"/>
    <w:rsid w:val="00567620"/>
    <w:rsid w:val="005775E9"/>
    <w:rsid w:val="0058455A"/>
    <w:rsid w:val="00587608"/>
    <w:rsid w:val="00590D88"/>
    <w:rsid w:val="005929AC"/>
    <w:rsid w:val="00593CEE"/>
    <w:rsid w:val="005C667E"/>
    <w:rsid w:val="005D0BFB"/>
    <w:rsid w:val="005D54EB"/>
    <w:rsid w:val="005D691C"/>
    <w:rsid w:val="005E10ED"/>
    <w:rsid w:val="005E4E2C"/>
    <w:rsid w:val="006030CC"/>
    <w:rsid w:val="00612092"/>
    <w:rsid w:val="00624A33"/>
    <w:rsid w:val="006300E3"/>
    <w:rsid w:val="00643AAB"/>
    <w:rsid w:val="00644C1C"/>
    <w:rsid w:val="0064596E"/>
    <w:rsid w:val="006467E6"/>
    <w:rsid w:val="006527C5"/>
    <w:rsid w:val="0065308E"/>
    <w:rsid w:val="00662708"/>
    <w:rsid w:val="0067013B"/>
    <w:rsid w:val="00672F7D"/>
    <w:rsid w:val="00677EAA"/>
    <w:rsid w:val="006870B3"/>
    <w:rsid w:val="00694699"/>
    <w:rsid w:val="006A5746"/>
    <w:rsid w:val="006B49C2"/>
    <w:rsid w:val="006E595C"/>
    <w:rsid w:val="006E722A"/>
    <w:rsid w:val="006F233C"/>
    <w:rsid w:val="006F51BB"/>
    <w:rsid w:val="006F52BD"/>
    <w:rsid w:val="006F765C"/>
    <w:rsid w:val="00706D5C"/>
    <w:rsid w:val="00711353"/>
    <w:rsid w:val="00725579"/>
    <w:rsid w:val="007258FF"/>
    <w:rsid w:val="00732FAC"/>
    <w:rsid w:val="00737568"/>
    <w:rsid w:val="007444EF"/>
    <w:rsid w:val="00764EE6"/>
    <w:rsid w:val="00765477"/>
    <w:rsid w:val="00766D9A"/>
    <w:rsid w:val="007673AB"/>
    <w:rsid w:val="007703E5"/>
    <w:rsid w:val="00771568"/>
    <w:rsid w:val="0077282A"/>
    <w:rsid w:val="0078123C"/>
    <w:rsid w:val="0078144F"/>
    <w:rsid w:val="00783A00"/>
    <w:rsid w:val="00783EFE"/>
    <w:rsid w:val="00784D37"/>
    <w:rsid w:val="007936D8"/>
    <w:rsid w:val="00793EA1"/>
    <w:rsid w:val="007A23C5"/>
    <w:rsid w:val="007C6D84"/>
    <w:rsid w:val="007D02DA"/>
    <w:rsid w:val="007D50CE"/>
    <w:rsid w:val="007E5A40"/>
    <w:rsid w:val="007F2AF4"/>
    <w:rsid w:val="008020AA"/>
    <w:rsid w:val="00804D8D"/>
    <w:rsid w:val="00805703"/>
    <w:rsid w:val="008066D7"/>
    <w:rsid w:val="008137DE"/>
    <w:rsid w:val="008170A4"/>
    <w:rsid w:val="0081715E"/>
    <w:rsid w:val="008229AA"/>
    <w:rsid w:val="00824966"/>
    <w:rsid w:val="00825AC0"/>
    <w:rsid w:val="00831257"/>
    <w:rsid w:val="00836D2D"/>
    <w:rsid w:val="00855B9E"/>
    <w:rsid w:val="008708D9"/>
    <w:rsid w:val="00875A9E"/>
    <w:rsid w:val="0087687B"/>
    <w:rsid w:val="008914DA"/>
    <w:rsid w:val="0089270D"/>
    <w:rsid w:val="008A34A4"/>
    <w:rsid w:val="008A79D6"/>
    <w:rsid w:val="008C28BF"/>
    <w:rsid w:val="008E639A"/>
    <w:rsid w:val="008F0378"/>
    <w:rsid w:val="008F03C6"/>
    <w:rsid w:val="008F49C5"/>
    <w:rsid w:val="00904C83"/>
    <w:rsid w:val="00905A06"/>
    <w:rsid w:val="00906889"/>
    <w:rsid w:val="00910A51"/>
    <w:rsid w:val="00915C50"/>
    <w:rsid w:val="009172BB"/>
    <w:rsid w:val="00935C26"/>
    <w:rsid w:val="00952B07"/>
    <w:rsid w:val="00952C19"/>
    <w:rsid w:val="00953800"/>
    <w:rsid w:val="009538FA"/>
    <w:rsid w:val="00967357"/>
    <w:rsid w:val="00977E7D"/>
    <w:rsid w:val="009809A4"/>
    <w:rsid w:val="00982FA5"/>
    <w:rsid w:val="009923BD"/>
    <w:rsid w:val="009A0A5E"/>
    <w:rsid w:val="009A2A5B"/>
    <w:rsid w:val="009C26DE"/>
    <w:rsid w:val="009C6F42"/>
    <w:rsid w:val="009E079F"/>
    <w:rsid w:val="009E264D"/>
    <w:rsid w:val="00A12CD4"/>
    <w:rsid w:val="00A16847"/>
    <w:rsid w:val="00A34BEF"/>
    <w:rsid w:val="00A37AAA"/>
    <w:rsid w:val="00A520A3"/>
    <w:rsid w:val="00A60C15"/>
    <w:rsid w:val="00A62B95"/>
    <w:rsid w:val="00A653D6"/>
    <w:rsid w:val="00A70F90"/>
    <w:rsid w:val="00A71C4C"/>
    <w:rsid w:val="00A8540D"/>
    <w:rsid w:val="00A8655C"/>
    <w:rsid w:val="00A96DC9"/>
    <w:rsid w:val="00A97071"/>
    <w:rsid w:val="00AA5959"/>
    <w:rsid w:val="00AC0951"/>
    <w:rsid w:val="00AD0E14"/>
    <w:rsid w:val="00AD12D6"/>
    <w:rsid w:val="00AE1114"/>
    <w:rsid w:val="00AF62F5"/>
    <w:rsid w:val="00AF790D"/>
    <w:rsid w:val="00AF7D44"/>
    <w:rsid w:val="00AF7EAB"/>
    <w:rsid w:val="00B028CA"/>
    <w:rsid w:val="00B1347C"/>
    <w:rsid w:val="00B15B45"/>
    <w:rsid w:val="00B1606A"/>
    <w:rsid w:val="00B17971"/>
    <w:rsid w:val="00B42422"/>
    <w:rsid w:val="00B528AE"/>
    <w:rsid w:val="00B53F72"/>
    <w:rsid w:val="00B61EEE"/>
    <w:rsid w:val="00B90CD4"/>
    <w:rsid w:val="00B939A6"/>
    <w:rsid w:val="00B97132"/>
    <w:rsid w:val="00BC19F1"/>
    <w:rsid w:val="00BD3985"/>
    <w:rsid w:val="00BD7B59"/>
    <w:rsid w:val="00BE1E8A"/>
    <w:rsid w:val="00BE240F"/>
    <w:rsid w:val="00BF77B8"/>
    <w:rsid w:val="00C1162C"/>
    <w:rsid w:val="00C27DB8"/>
    <w:rsid w:val="00C35D05"/>
    <w:rsid w:val="00C37492"/>
    <w:rsid w:val="00C3794F"/>
    <w:rsid w:val="00C61659"/>
    <w:rsid w:val="00C63198"/>
    <w:rsid w:val="00C7230C"/>
    <w:rsid w:val="00C83094"/>
    <w:rsid w:val="00CA1477"/>
    <w:rsid w:val="00CA294F"/>
    <w:rsid w:val="00CA46AF"/>
    <w:rsid w:val="00CA7A4B"/>
    <w:rsid w:val="00CD56BA"/>
    <w:rsid w:val="00CD5897"/>
    <w:rsid w:val="00CD61C8"/>
    <w:rsid w:val="00CD6D4A"/>
    <w:rsid w:val="00CD7D36"/>
    <w:rsid w:val="00CE2571"/>
    <w:rsid w:val="00CE6A00"/>
    <w:rsid w:val="00D069DC"/>
    <w:rsid w:val="00D17593"/>
    <w:rsid w:val="00D25770"/>
    <w:rsid w:val="00D32B76"/>
    <w:rsid w:val="00D3469A"/>
    <w:rsid w:val="00D365DE"/>
    <w:rsid w:val="00D42268"/>
    <w:rsid w:val="00D4501B"/>
    <w:rsid w:val="00D5326D"/>
    <w:rsid w:val="00D53ADF"/>
    <w:rsid w:val="00D60D17"/>
    <w:rsid w:val="00D614BB"/>
    <w:rsid w:val="00D7373E"/>
    <w:rsid w:val="00D73EDD"/>
    <w:rsid w:val="00D76DFE"/>
    <w:rsid w:val="00D841B7"/>
    <w:rsid w:val="00D94210"/>
    <w:rsid w:val="00DA5BB7"/>
    <w:rsid w:val="00DA7D49"/>
    <w:rsid w:val="00DB11BA"/>
    <w:rsid w:val="00DB6511"/>
    <w:rsid w:val="00DD0EE9"/>
    <w:rsid w:val="00DD37FA"/>
    <w:rsid w:val="00DD4F29"/>
    <w:rsid w:val="00DE3E59"/>
    <w:rsid w:val="00DF0A88"/>
    <w:rsid w:val="00DF400B"/>
    <w:rsid w:val="00E16E15"/>
    <w:rsid w:val="00E3041C"/>
    <w:rsid w:val="00E51517"/>
    <w:rsid w:val="00E56684"/>
    <w:rsid w:val="00E60EC6"/>
    <w:rsid w:val="00E634D3"/>
    <w:rsid w:val="00E641D6"/>
    <w:rsid w:val="00E92B77"/>
    <w:rsid w:val="00EA1E88"/>
    <w:rsid w:val="00EA461C"/>
    <w:rsid w:val="00EB5672"/>
    <w:rsid w:val="00EE5223"/>
    <w:rsid w:val="00EF1C20"/>
    <w:rsid w:val="00EF6FD3"/>
    <w:rsid w:val="00F2089D"/>
    <w:rsid w:val="00F2375C"/>
    <w:rsid w:val="00F46E03"/>
    <w:rsid w:val="00F55928"/>
    <w:rsid w:val="00F56CFE"/>
    <w:rsid w:val="00F604E8"/>
    <w:rsid w:val="00F6260F"/>
    <w:rsid w:val="00F6556C"/>
    <w:rsid w:val="00F72A23"/>
    <w:rsid w:val="00F76B12"/>
    <w:rsid w:val="00F84D02"/>
    <w:rsid w:val="00FA43D2"/>
    <w:rsid w:val="00FA4769"/>
    <w:rsid w:val="00FB041B"/>
    <w:rsid w:val="00FB1535"/>
    <w:rsid w:val="00FB7B2E"/>
    <w:rsid w:val="00FC2B27"/>
    <w:rsid w:val="00FC66D3"/>
    <w:rsid w:val="00FD0C85"/>
    <w:rsid w:val="00FE60DD"/>
    <w:rsid w:val="01994084"/>
    <w:rsid w:val="03B908DE"/>
    <w:rsid w:val="06760AE2"/>
    <w:rsid w:val="06B67628"/>
    <w:rsid w:val="073A0A4E"/>
    <w:rsid w:val="08AA1F13"/>
    <w:rsid w:val="09AC42D5"/>
    <w:rsid w:val="09D060BE"/>
    <w:rsid w:val="0B6636C2"/>
    <w:rsid w:val="0F14184A"/>
    <w:rsid w:val="125B04CF"/>
    <w:rsid w:val="13141499"/>
    <w:rsid w:val="13504954"/>
    <w:rsid w:val="151A4A2D"/>
    <w:rsid w:val="15A177C8"/>
    <w:rsid w:val="18533106"/>
    <w:rsid w:val="1E53498E"/>
    <w:rsid w:val="1F867862"/>
    <w:rsid w:val="225B3352"/>
    <w:rsid w:val="22D228F6"/>
    <w:rsid w:val="23146030"/>
    <w:rsid w:val="23C65690"/>
    <w:rsid w:val="24D41987"/>
    <w:rsid w:val="2527574F"/>
    <w:rsid w:val="26BD3FDF"/>
    <w:rsid w:val="27B643D8"/>
    <w:rsid w:val="28C218A0"/>
    <w:rsid w:val="28D42601"/>
    <w:rsid w:val="28DD7611"/>
    <w:rsid w:val="295E1AC7"/>
    <w:rsid w:val="2C473644"/>
    <w:rsid w:val="2CC43975"/>
    <w:rsid w:val="2DBC00B3"/>
    <w:rsid w:val="2FF410AB"/>
    <w:rsid w:val="3102162B"/>
    <w:rsid w:val="32317416"/>
    <w:rsid w:val="32946A65"/>
    <w:rsid w:val="34AF5491"/>
    <w:rsid w:val="3843295D"/>
    <w:rsid w:val="384B54EF"/>
    <w:rsid w:val="3AEA058B"/>
    <w:rsid w:val="3B4E7335"/>
    <w:rsid w:val="3B50260A"/>
    <w:rsid w:val="3BA35C04"/>
    <w:rsid w:val="3C7130DF"/>
    <w:rsid w:val="3D344AAE"/>
    <w:rsid w:val="3E60309B"/>
    <w:rsid w:val="3EA448AD"/>
    <w:rsid w:val="3F9D445A"/>
    <w:rsid w:val="40F61879"/>
    <w:rsid w:val="42CA3D08"/>
    <w:rsid w:val="4A204904"/>
    <w:rsid w:val="4A3835D3"/>
    <w:rsid w:val="4CA56706"/>
    <w:rsid w:val="4F292FF3"/>
    <w:rsid w:val="51E24BEC"/>
    <w:rsid w:val="51FF2675"/>
    <w:rsid w:val="53347D91"/>
    <w:rsid w:val="55A74EF8"/>
    <w:rsid w:val="55E6536C"/>
    <w:rsid w:val="55E81280"/>
    <w:rsid w:val="55F90F8D"/>
    <w:rsid w:val="5B826ACF"/>
    <w:rsid w:val="5BDD2B45"/>
    <w:rsid w:val="5CA44CD2"/>
    <w:rsid w:val="5EAA6AEF"/>
    <w:rsid w:val="5EFE675B"/>
    <w:rsid w:val="62192D36"/>
    <w:rsid w:val="62D32E11"/>
    <w:rsid w:val="638119DA"/>
    <w:rsid w:val="65F05C9D"/>
    <w:rsid w:val="669935F9"/>
    <w:rsid w:val="68D11D83"/>
    <w:rsid w:val="695D15DC"/>
    <w:rsid w:val="69DC04BA"/>
    <w:rsid w:val="6A9A354B"/>
    <w:rsid w:val="6C9355E3"/>
    <w:rsid w:val="6D0A1AF5"/>
    <w:rsid w:val="6E95504F"/>
    <w:rsid w:val="6F1C4871"/>
    <w:rsid w:val="7148388A"/>
    <w:rsid w:val="72190274"/>
    <w:rsid w:val="72D85907"/>
    <w:rsid w:val="746658A1"/>
    <w:rsid w:val="756170EC"/>
    <w:rsid w:val="7596464B"/>
    <w:rsid w:val="768C17FA"/>
    <w:rsid w:val="7A34689E"/>
    <w:rsid w:val="7B4F454F"/>
    <w:rsid w:val="7D6E3D2F"/>
    <w:rsid w:val="7DA90143"/>
    <w:rsid w:val="7DD9487D"/>
    <w:rsid w:val="7E662FB7"/>
    <w:rsid w:val="7F44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8"/>
    <w:qFormat/>
    <w:uiPriority w:val="9"/>
    <w:pPr>
      <w:keepNext/>
      <w:keepLines/>
      <w:spacing w:line="360" w:lineRule="auto"/>
      <w:ind w:firstLine="200"/>
      <w:outlineLvl w:val="0"/>
    </w:pPr>
    <w:rPr>
      <w:rFonts w:eastAsia="黑体"/>
      <w:bCs/>
      <w:kern w:val="44"/>
      <w:szCs w:val="44"/>
    </w:rPr>
  </w:style>
  <w:style w:type="paragraph" w:styleId="4">
    <w:name w:val="heading 2"/>
    <w:basedOn w:val="1"/>
    <w:next w:val="1"/>
    <w:link w:val="26"/>
    <w:qFormat/>
    <w:uiPriority w:val="9"/>
    <w:pPr>
      <w:keepNext/>
      <w:keepLines/>
      <w:spacing w:line="360" w:lineRule="auto"/>
      <w:ind w:firstLine="200"/>
      <w:outlineLvl w:val="1"/>
    </w:pPr>
    <w:rPr>
      <w:rFonts w:eastAsia="楷体"/>
      <w:bCs/>
      <w:szCs w:val="32"/>
    </w:rPr>
  </w:style>
  <w:style w:type="paragraph" w:styleId="5">
    <w:name w:val="heading 3"/>
    <w:basedOn w:val="1"/>
    <w:next w:val="1"/>
    <w:link w:val="31"/>
    <w:unhideWhenUsed/>
    <w:qFormat/>
    <w:uiPriority w:val="9"/>
    <w:pPr>
      <w:keepNext/>
      <w:keepLines/>
      <w:widowControl w:val="0"/>
      <w:spacing w:before="260" w:after="260" w:line="416" w:lineRule="auto"/>
      <w:outlineLvl w:val="2"/>
    </w:pPr>
    <w:rPr>
      <w:rFonts w:asciiTheme="minorHAnsi" w:hAnsiTheme="minorHAnsi" w:eastAsiaTheme="minorEastAsia" w:cstheme="minorBidi"/>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left="720"/>
      <w:jc w:val="left"/>
    </w:pPr>
    <w:rPr>
      <w:rFonts w:ascii="Arial" w:hAnsi="Arial" w:eastAsia="楷体_GB2312"/>
      <w:color w:val="000000"/>
      <w:kern w:val="0"/>
      <w:sz w:val="24"/>
      <w:szCs w:val="20"/>
      <w:lang w:eastAsia="en-US"/>
    </w:rPr>
  </w:style>
  <w:style w:type="paragraph" w:styleId="6">
    <w:name w:val="table of authorities"/>
    <w:basedOn w:val="1"/>
    <w:next w:val="1"/>
    <w:qFormat/>
    <w:uiPriority w:val="99"/>
    <w:pPr>
      <w:spacing w:line="360" w:lineRule="auto"/>
      <w:ind w:left="560" w:leftChars="100" w:firstLine="883"/>
    </w:pPr>
    <w:rPr>
      <w:rFonts w:eastAsia="宋体"/>
      <w:sz w:val="21"/>
      <w:szCs w:val="24"/>
    </w:rPr>
  </w:style>
  <w:style w:type="paragraph" w:styleId="7">
    <w:name w:val="caption"/>
    <w:basedOn w:val="1"/>
    <w:next w:val="1"/>
    <w:unhideWhenUsed/>
    <w:qFormat/>
    <w:uiPriority w:val="35"/>
    <w:rPr>
      <w:rFonts w:eastAsia="黑体" w:asciiTheme="majorHAnsi" w:hAnsiTheme="majorHAnsi" w:cstheme="majorBidi"/>
      <w:sz w:val="20"/>
    </w:rPr>
  </w:style>
  <w:style w:type="paragraph" w:styleId="8">
    <w:name w:val="annotation text"/>
    <w:basedOn w:val="1"/>
    <w:link w:val="24"/>
    <w:qFormat/>
    <w:uiPriority w:val="0"/>
    <w:pPr>
      <w:jc w:val="left"/>
    </w:pPr>
    <w:rPr>
      <w:rFonts w:ascii="Calibri" w:hAnsi="Calibri" w:eastAsia="宋体"/>
      <w:sz w:val="21"/>
      <w:szCs w:val="24"/>
    </w:rPr>
  </w:style>
  <w:style w:type="paragraph" w:styleId="9">
    <w:name w:val="Plain Text"/>
    <w:basedOn w:val="1"/>
    <w:link w:val="34"/>
    <w:qFormat/>
    <w:uiPriority w:val="99"/>
    <w:pPr>
      <w:widowControl w:val="0"/>
    </w:pPr>
    <w:rPr>
      <w:rFonts w:ascii="宋体" w:hAnsi="Courier New" w:eastAsiaTheme="minorEastAsia" w:cstheme="minorBidi"/>
      <w:sz w:val="21"/>
      <w:szCs w:val="21"/>
    </w:rPr>
  </w:style>
  <w:style w:type="paragraph" w:styleId="10">
    <w:name w:val="Balloon Text"/>
    <w:basedOn w:val="1"/>
    <w:link w:val="25"/>
    <w:semiHidden/>
    <w:unhideWhenUsed/>
    <w:qFormat/>
    <w:uiPriority w:val="0"/>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rPr>
  </w:style>
  <w:style w:type="paragraph" w:styleId="12">
    <w:name w:val="header"/>
    <w:basedOn w:val="1"/>
    <w:link w:val="22"/>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36"/>
    <w:qFormat/>
    <w:uiPriority w:val="0"/>
    <w:pPr>
      <w:widowControl w:val="0"/>
      <w:snapToGrid w:val="0"/>
      <w:jc w:val="left"/>
    </w:pPr>
    <w:rPr>
      <w:rFonts w:eastAsia="宋体"/>
      <w:sz w:val="18"/>
      <w:szCs w:val="18"/>
    </w:rPr>
  </w:style>
  <w:style w:type="paragraph" w:styleId="14">
    <w:name w:val="HTML Preformatted"/>
    <w:basedOn w:val="1"/>
    <w:link w:val="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qFormat/>
    <w:uiPriority w:val="99"/>
    <w:pPr>
      <w:spacing w:beforeAutospacing="1" w:afterAutospacing="1"/>
      <w:jc w:val="left"/>
    </w:pPr>
    <w:rPr>
      <w:rFonts w:ascii="Calibri" w:hAnsi="Calibri" w:eastAsia="宋体"/>
      <w:kern w:val="0"/>
      <w:sz w:val="24"/>
      <w:szCs w:val="24"/>
    </w:rPr>
  </w:style>
  <w:style w:type="paragraph" w:styleId="16">
    <w:name w:val="annotation subject"/>
    <w:basedOn w:val="8"/>
    <w:next w:val="8"/>
    <w:link w:val="30"/>
    <w:semiHidden/>
    <w:unhideWhenUsed/>
    <w:qFormat/>
    <w:uiPriority w:val="0"/>
    <w:rPr>
      <w:rFonts w:ascii="Times New Roman" w:hAnsi="Times New Roman" w:eastAsia="方正仿宋_GBK"/>
      <w:b/>
      <w:bCs/>
      <w:sz w:val="32"/>
      <w:szCs w:val="2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character" w:styleId="21">
    <w:name w:val="footnote reference"/>
    <w:unhideWhenUsed/>
    <w:qFormat/>
    <w:uiPriority w:val="99"/>
    <w:rPr>
      <w:vertAlign w:val="superscript"/>
    </w:rPr>
  </w:style>
  <w:style w:type="character" w:customStyle="1" w:styleId="22">
    <w:name w:val="页眉 Char"/>
    <w:link w:val="12"/>
    <w:qFormat/>
    <w:uiPriority w:val="0"/>
    <w:rPr>
      <w:rFonts w:ascii="Times New Roman" w:hAnsi="Times New Roman" w:eastAsia="方正仿宋_GBK" w:cs="Times New Roman"/>
      <w:sz w:val="18"/>
      <w:szCs w:val="20"/>
    </w:rPr>
  </w:style>
  <w:style w:type="character" w:customStyle="1" w:styleId="23">
    <w:name w:val="页脚 Char"/>
    <w:link w:val="11"/>
    <w:qFormat/>
    <w:uiPriority w:val="99"/>
    <w:rPr>
      <w:rFonts w:ascii="Times New Roman" w:hAnsi="Times New Roman" w:eastAsia="方正仿宋_GBK" w:cs="Times New Roman"/>
      <w:sz w:val="18"/>
      <w:szCs w:val="20"/>
    </w:rPr>
  </w:style>
  <w:style w:type="character" w:customStyle="1" w:styleId="24">
    <w:name w:val="批注文字 Char"/>
    <w:link w:val="8"/>
    <w:qFormat/>
    <w:uiPriority w:val="0"/>
    <w:rPr>
      <w:rFonts w:ascii="Calibri" w:hAnsi="Calibri"/>
      <w:kern w:val="2"/>
      <w:sz w:val="21"/>
      <w:szCs w:val="24"/>
    </w:rPr>
  </w:style>
  <w:style w:type="character" w:customStyle="1" w:styleId="25">
    <w:name w:val="批注框文本 Char"/>
    <w:link w:val="10"/>
    <w:semiHidden/>
    <w:qFormat/>
    <w:uiPriority w:val="0"/>
    <w:rPr>
      <w:rFonts w:eastAsia="方正仿宋_GBK"/>
      <w:kern w:val="2"/>
      <w:sz w:val="18"/>
      <w:szCs w:val="18"/>
    </w:rPr>
  </w:style>
  <w:style w:type="character" w:customStyle="1" w:styleId="26">
    <w:name w:val="标题 2 Char"/>
    <w:link w:val="4"/>
    <w:qFormat/>
    <w:uiPriority w:val="9"/>
    <w:rPr>
      <w:rFonts w:eastAsia="楷体"/>
      <w:bCs/>
      <w:kern w:val="2"/>
      <w:sz w:val="32"/>
      <w:szCs w:val="32"/>
    </w:rPr>
  </w:style>
  <w:style w:type="character" w:customStyle="1" w:styleId="27">
    <w:name w:val="HTML 预设格式 Char"/>
    <w:basedOn w:val="19"/>
    <w:link w:val="14"/>
    <w:semiHidden/>
    <w:qFormat/>
    <w:uiPriority w:val="99"/>
    <w:rPr>
      <w:rFonts w:ascii="宋体" w:hAnsi="宋体" w:cs="宋体"/>
      <w:sz w:val="24"/>
      <w:szCs w:val="24"/>
    </w:rPr>
  </w:style>
  <w:style w:type="character" w:customStyle="1" w:styleId="28">
    <w:name w:val="标题 1 Char"/>
    <w:basedOn w:val="19"/>
    <w:link w:val="3"/>
    <w:qFormat/>
    <w:uiPriority w:val="9"/>
    <w:rPr>
      <w:rFonts w:eastAsia="黑体"/>
      <w:bCs/>
      <w:kern w:val="44"/>
      <w:sz w:val="32"/>
      <w:szCs w:val="44"/>
    </w:rPr>
  </w:style>
  <w:style w:type="paragraph" w:styleId="29">
    <w:name w:val="List Paragraph"/>
    <w:basedOn w:val="1"/>
    <w:qFormat/>
    <w:uiPriority w:val="99"/>
    <w:pPr>
      <w:ind w:firstLine="420"/>
    </w:pPr>
  </w:style>
  <w:style w:type="character" w:customStyle="1" w:styleId="30">
    <w:name w:val="批注主题 Char"/>
    <w:basedOn w:val="24"/>
    <w:link w:val="16"/>
    <w:semiHidden/>
    <w:qFormat/>
    <w:uiPriority w:val="0"/>
    <w:rPr>
      <w:rFonts w:ascii="Calibri" w:hAnsi="Calibri" w:eastAsia="方正仿宋_GBK"/>
      <w:b/>
      <w:bCs/>
      <w:kern w:val="2"/>
      <w:sz w:val="32"/>
      <w:szCs w:val="24"/>
    </w:rPr>
  </w:style>
  <w:style w:type="character" w:customStyle="1" w:styleId="31">
    <w:name w:val="标题 3 Char"/>
    <w:basedOn w:val="19"/>
    <w:link w:val="5"/>
    <w:qFormat/>
    <w:uiPriority w:val="9"/>
    <w:rPr>
      <w:rFonts w:asciiTheme="minorHAnsi" w:hAnsiTheme="minorHAnsi" w:eastAsiaTheme="minorEastAsia" w:cstheme="minorBidi"/>
      <w:b/>
      <w:bCs/>
      <w:kern w:val="2"/>
      <w:sz w:val="32"/>
      <w:szCs w:val="32"/>
    </w:rPr>
  </w:style>
  <w:style w:type="paragraph" w:customStyle="1" w:styleId="32">
    <w:name w:val="南海正文"/>
    <w:link w:val="33"/>
    <w:qFormat/>
    <w:uiPriority w:val="0"/>
    <w:pPr>
      <w:adjustRightInd w:val="0"/>
      <w:snapToGrid w:val="0"/>
      <w:spacing w:line="560" w:lineRule="exact"/>
      <w:ind w:firstLine="640" w:firstLineChars="200"/>
      <w:jc w:val="both"/>
    </w:pPr>
    <w:rPr>
      <w:rFonts w:ascii="Times New Roman" w:hAnsi="Times New Roman" w:eastAsia="仿宋_GB2312" w:cs="Times New Roman"/>
      <w:sz w:val="32"/>
      <w:szCs w:val="22"/>
      <w:lang w:val="en-GB" w:eastAsia="zh-CN" w:bidi="ar-SA"/>
    </w:rPr>
  </w:style>
  <w:style w:type="character" w:customStyle="1" w:styleId="33">
    <w:name w:val="南海正文 字符"/>
    <w:link w:val="32"/>
    <w:qFormat/>
    <w:uiPriority w:val="0"/>
    <w:rPr>
      <w:rFonts w:eastAsia="仿宋_GB2312"/>
      <w:sz w:val="32"/>
      <w:szCs w:val="22"/>
      <w:lang w:val="en-GB"/>
    </w:rPr>
  </w:style>
  <w:style w:type="character" w:customStyle="1" w:styleId="34">
    <w:name w:val="纯文本 Char"/>
    <w:basedOn w:val="19"/>
    <w:link w:val="9"/>
    <w:qFormat/>
    <w:uiPriority w:val="99"/>
    <w:rPr>
      <w:rFonts w:ascii="宋体" w:hAnsi="Courier New" w:eastAsiaTheme="minorEastAsia" w:cstheme="minorBidi"/>
      <w:kern w:val="2"/>
      <w:sz w:val="21"/>
      <w:szCs w:val="21"/>
    </w:rPr>
  </w:style>
  <w:style w:type="character" w:customStyle="1" w:styleId="35">
    <w:name w:val="脚注文本 Char"/>
    <w:basedOn w:val="19"/>
    <w:semiHidden/>
    <w:qFormat/>
    <w:uiPriority w:val="0"/>
    <w:rPr>
      <w:rFonts w:eastAsia="方正仿宋_GBK"/>
      <w:kern w:val="2"/>
      <w:sz w:val="18"/>
      <w:szCs w:val="18"/>
    </w:rPr>
  </w:style>
  <w:style w:type="character" w:customStyle="1" w:styleId="36">
    <w:name w:val="脚注文本 Char1"/>
    <w:link w:val="13"/>
    <w:qFormat/>
    <w:uiPriority w:val="0"/>
    <w:rPr>
      <w:kern w:val="2"/>
      <w:sz w:val="18"/>
      <w:szCs w:val="18"/>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0" Type="http://schemas.openxmlformats.org/officeDocument/2006/relationships/fontTable" Target="fontTable.xml"/><Relationship Id="rId6" Type="http://schemas.openxmlformats.org/officeDocument/2006/relationships/header" Target="header3.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23.wmf"/><Relationship Id="rId55" Type="http://schemas.openxmlformats.org/officeDocument/2006/relationships/oleObject" Target="embeddings/oleObject21.bin"/><Relationship Id="rId54" Type="http://schemas.openxmlformats.org/officeDocument/2006/relationships/image" Target="media/image22.wmf"/><Relationship Id="rId53" Type="http://schemas.openxmlformats.org/officeDocument/2006/relationships/oleObject" Target="embeddings/oleObject20.bin"/><Relationship Id="rId52" Type="http://schemas.openxmlformats.org/officeDocument/2006/relationships/image" Target="media/image21.wmf"/><Relationship Id="rId51" Type="http://schemas.openxmlformats.org/officeDocument/2006/relationships/oleObject" Target="embeddings/oleObject19.bin"/><Relationship Id="rId50" Type="http://schemas.openxmlformats.org/officeDocument/2006/relationships/image" Target="media/image20.wmf"/><Relationship Id="rId5" Type="http://schemas.openxmlformats.org/officeDocument/2006/relationships/header" Target="header2.xml"/><Relationship Id="rId49" Type="http://schemas.openxmlformats.org/officeDocument/2006/relationships/oleObject" Target="embeddings/oleObject18.bin"/><Relationship Id="rId48" Type="http://schemas.openxmlformats.org/officeDocument/2006/relationships/image" Target="media/image19.wmf"/><Relationship Id="rId47" Type="http://schemas.openxmlformats.org/officeDocument/2006/relationships/oleObject" Target="embeddings/oleObject17.bin"/><Relationship Id="rId46" Type="http://schemas.openxmlformats.org/officeDocument/2006/relationships/image" Target="media/image18.wmf"/><Relationship Id="rId45" Type="http://schemas.openxmlformats.org/officeDocument/2006/relationships/oleObject" Target="embeddings/oleObject16.bin"/><Relationship Id="rId44" Type="http://schemas.openxmlformats.org/officeDocument/2006/relationships/image" Target="media/image17.wmf"/><Relationship Id="rId43" Type="http://schemas.openxmlformats.org/officeDocument/2006/relationships/oleObject" Target="embeddings/oleObject15.bin"/><Relationship Id="rId42" Type="http://schemas.openxmlformats.org/officeDocument/2006/relationships/image" Target="media/image16.wmf"/><Relationship Id="rId41" Type="http://schemas.openxmlformats.org/officeDocument/2006/relationships/oleObject" Target="embeddings/oleObject14.bin"/><Relationship Id="rId40" Type="http://schemas.openxmlformats.org/officeDocument/2006/relationships/image" Target="media/image15.wmf"/><Relationship Id="rId4" Type="http://schemas.openxmlformats.org/officeDocument/2006/relationships/header" Target="header1.xml"/><Relationship Id="rId39" Type="http://schemas.openxmlformats.org/officeDocument/2006/relationships/oleObject" Target="embeddings/oleObject13.bin"/><Relationship Id="rId38" Type="http://schemas.openxmlformats.org/officeDocument/2006/relationships/image" Target="media/image14.wmf"/><Relationship Id="rId37" Type="http://schemas.openxmlformats.org/officeDocument/2006/relationships/oleObject" Target="embeddings/oleObject12.bin"/><Relationship Id="rId36" Type="http://schemas.openxmlformats.org/officeDocument/2006/relationships/image" Target="media/image13.wmf"/><Relationship Id="rId35" Type="http://schemas.openxmlformats.org/officeDocument/2006/relationships/oleObject" Target="embeddings/oleObject11.bin"/><Relationship Id="rId34" Type="http://schemas.openxmlformats.org/officeDocument/2006/relationships/image" Target="media/image12.wmf"/><Relationship Id="rId33" Type="http://schemas.openxmlformats.org/officeDocument/2006/relationships/oleObject" Target="embeddings/oleObject10.bin"/><Relationship Id="rId32" Type="http://schemas.openxmlformats.org/officeDocument/2006/relationships/image" Target="media/image11.wmf"/><Relationship Id="rId31" Type="http://schemas.openxmlformats.org/officeDocument/2006/relationships/oleObject" Target="embeddings/oleObject9.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9.wmf"/><Relationship Id="rId27" Type="http://schemas.openxmlformats.org/officeDocument/2006/relationships/oleObject" Target="embeddings/oleObject7.bin"/><Relationship Id="rId26" Type="http://schemas.openxmlformats.org/officeDocument/2006/relationships/oleObject" Target="embeddings/oleObject6.bin"/><Relationship Id="rId25" Type="http://schemas.openxmlformats.org/officeDocument/2006/relationships/image" Target="media/image8.wmf"/><Relationship Id="rId24" Type="http://schemas.openxmlformats.org/officeDocument/2006/relationships/oleObject" Target="embeddings/oleObject5.bin"/><Relationship Id="rId23" Type="http://schemas.openxmlformats.org/officeDocument/2006/relationships/image" Target="media/image7.wmf"/><Relationship Id="rId22" Type="http://schemas.openxmlformats.org/officeDocument/2006/relationships/oleObject" Target="embeddings/oleObject4.bin"/><Relationship Id="rId21" Type="http://schemas.openxmlformats.org/officeDocument/2006/relationships/image" Target="media/image6.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2.bin"/><Relationship Id="rId17" Type="http://schemas.openxmlformats.org/officeDocument/2006/relationships/image" Target="media/image4.emf"/><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AF156-6D27-4116-BE51-01EA1B6BC6E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11102</Words>
  <Characters>11801</Characters>
  <Lines>76</Lines>
  <Paragraphs>21</Paragraphs>
  <TotalTime>44</TotalTime>
  <ScaleCrop>false</ScaleCrop>
  <LinksUpToDate>false</LinksUpToDate>
  <CharactersWithSpaces>12025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2022-04-01T01:46:00Z</dcterms:created>
  <dc:creator>微软用户</dc:creator>
  <cp:lastModifiedBy>Administrator</cp:lastModifiedBy>
  <cp:lastPrinted>2024-07-04T02:20:00Z</cp:lastPrinted>
  <dcterms:modified xsi:type="dcterms:W3CDTF">2025-06-05T02:37:00Z</dcterms:modified>
  <dc:title>附件2：</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63EE084433D6404CBF6B7498AF980FC1</vt:lpwstr>
  </property>
</Properties>
</file>