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FFA00">
      <w:pPr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bookmarkStart w:id="0" w:name="_Toc88658923"/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丰城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顺银村镇银行202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年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上半年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资本信息</w:t>
      </w:r>
    </w:p>
    <w:p w14:paraId="019CDB46">
      <w:pPr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披露报告</w:t>
      </w:r>
    </w:p>
    <w:p w14:paraId="6EC2D999">
      <w:pPr>
        <w:spacing w:line="57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1E5B51AD">
      <w:pPr>
        <w:spacing w:line="570" w:lineRule="exact"/>
        <w:ind w:firstLine="640" w:firstLineChars="200"/>
        <w:jc w:val="left"/>
        <w:rPr>
          <w:rFonts w:ascii="楷体_GB2312" w:hAnsi="仿宋_GB2312" w:eastAsia="楷体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根据《商业银行资本管理办法》规定，现将我行202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上半年</w:t>
      </w:r>
      <w:r>
        <w:rPr>
          <w:rFonts w:hint="eastAsia" w:ascii="仿宋_GB2312" w:hAnsi="仿宋_GB2312" w:eastAsia="仿宋_GB2312" w:cs="仿宋_GB2312"/>
          <w:sz w:val="32"/>
          <w:szCs w:val="32"/>
        </w:rPr>
        <w:t>资本信息披露如下：</w:t>
      </w:r>
    </w:p>
    <w:p w14:paraId="521F9D60">
      <w:pPr>
        <w:jc w:val="center"/>
        <w:rPr>
          <w:rFonts w:ascii="楷体_GB2312" w:hAnsi="仿宋_GB2312" w:eastAsia="楷体_GB2312" w:cs="仿宋_GB2312"/>
          <w:b/>
          <w:sz w:val="28"/>
          <w:szCs w:val="28"/>
        </w:rPr>
      </w:pPr>
    </w:p>
    <w:p w14:paraId="6C2C610E">
      <w:pPr>
        <w:jc w:val="center"/>
        <w:rPr>
          <w:rFonts w:ascii="楷体_GB2312" w:hAnsi="仿宋_GB2312" w:eastAsia="楷体_GB2312" w:cs="仿宋_GB2312"/>
          <w:b/>
          <w:sz w:val="28"/>
          <w:szCs w:val="28"/>
        </w:rPr>
      </w:pPr>
      <w:r>
        <w:rPr>
          <w:rFonts w:hint="eastAsia" w:ascii="楷体_GB2312" w:hAnsi="仿宋_GB2312" w:eastAsia="楷体_GB2312" w:cs="仿宋_GB2312"/>
          <w:b/>
          <w:sz w:val="28"/>
          <w:szCs w:val="28"/>
        </w:rPr>
        <w:t>表3 关键审慎监管指标</w:t>
      </w:r>
      <w:bookmarkEnd w:id="0"/>
    </w:p>
    <w:p w14:paraId="222DB248">
      <w:pPr>
        <w:rPr>
          <w:vanish/>
          <w:sz w:val="28"/>
          <w:szCs w:val="28"/>
        </w:rPr>
      </w:pPr>
    </w:p>
    <w:tbl>
      <w:tblPr>
        <w:tblStyle w:val="5"/>
        <w:tblW w:w="836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935"/>
        <w:gridCol w:w="1843"/>
        <w:gridCol w:w="1877"/>
      </w:tblGrid>
      <w:tr w14:paraId="399118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37E754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35E0B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CCE8D"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202</w:t>
            </w:r>
            <w:r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  <w:t>5</w:t>
            </w: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年</w:t>
            </w:r>
            <w:r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  <w:t>12</w:t>
            </w: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39A147C">
            <w:pPr>
              <w:snapToGrid w:val="0"/>
              <w:spacing w:line="480" w:lineRule="exact"/>
              <w:jc w:val="center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年6月</w:t>
            </w:r>
          </w:p>
        </w:tc>
      </w:tr>
      <w:tr w14:paraId="70CDC3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/>
          </w:tcPr>
          <w:p w14:paraId="195CABAD"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color w:val="000000"/>
                <w:sz w:val="28"/>
                <w:szCs w:val="28"/>
              </w:rPr>
              <w:t>可用资本（数额）</w:t>
            </w:r>
          </w:p>
        </w:tc>
      </w:tr>
      <w:tr w14:paraId="6E5599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215D57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3EF61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核心一级资本净额（万元）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29FAA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15283.09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455601C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15125.76</w:t>
            </w:r>
          </w:p>
        </w:tc>
      </w:tr>
      <w:tr w14:paraId="5BCC57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E7B103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8E4D3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资本净额（万元）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B86E3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17471.11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B7F6B47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17059.52</w:t>
            </w:r>
          </w:p>
        </w:tc>
      </w:tr>
      <w:tr w14:paraId="4FED48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/>
          </w:tcPr>
          <w:p w14:paraId="59A5F190"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color w:val="000000"/>
                <w:sz w:val="28"/>
                <w:szCs w:val="28"/>
              </w:rPr>
              <w:t>风险加权资产（数额）</w:t>
            </w:r>
          </w:p>
        </w:tc>
      </w:tr>
      <w:tr w14:paraId="2B61C6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EF3E58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BC35A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信用风险加权资产（万元）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D0575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116266.80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A4C2FFF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117855.61</w:t>
            </w:r>
          </w:p>
        </w:tc>
      </w:tr>
      <w:tr w14:paraId="666379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4EDD72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545DE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操作风险加权资产（万元）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0535E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8284.89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907F8F8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8284.89</w:t>
            </w:r>
          </w:p>
        </w:tc>
      </w:tr>
      <w:tr w14:paraId="754931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650705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56572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风险加权资产合计（万元）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BECC4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124551.69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4FCD83A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126140.50</w:t>
            </w:r>
          </w:p>
        </w:tc>
      </w:tr>
      <w:tr w14:paraId="4D4710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3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/>
          </w:tcPr>
          <w:p w14:paraId="5F0A1278"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color w:val="000000"/>
                <w:sz w:val="28"/>
                <w:szCs w:val="28"/>
              </w:rPr>
              <w:t>资本充足率</w:t>
            </w:r>
          </w:p>
        </w:tc>
      </w:tr>
      <w:tr w14:paraId="1558B1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EBE61B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28153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核心一级资本充足率（%）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523A2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12.27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A29B2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11.99</w:t>
            </w:r>
          </w:p>
        </w:tc>
      </w:tr>
      <w:tr w14:paraId="279998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948D500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088DA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资本充足率（%）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E05C3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14.03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2FBBA46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13.52</w:t>
            </w:r>
          </w:p>
        </w:tc>
      </w:tr>
      <w:tr w14:paraId="33AFE8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83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/>
          </w:tcPr>
          <w:p w14:paraId="73FB840E"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color w:val="000000"/>
                <w:sz w:val="28"/>
                <w:szCs w:val="28"/>
              </w:rPr>
              <w:t>杠杆率</w:t>
            </w:r>
          </w:p>
        </w:tc>
      </w:tr>
      <w:tr w14:paraId="317341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36EC75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953A0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调整后表内外资产余额（万元）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25CE8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218895.60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6B0E674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218497.50</w:t>
            </w:r>
          </w:p>
        </w:tc>
      </w:tr>
      <w:tr w14:paraId="3914B0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8010E1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0393E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杠杆率</w:t>
            </w: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（%）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22950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6.98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17B836D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6.92</w:t>
            </w:r>
          </w:p>
        </w:tc>
      </w:tr>
      <w:tr w14:paraId="4C459C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4EC6CA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84DCD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杠杆率a</w:t>
            </w: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（%）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A83B6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6.98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753F473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6.92</w:t>
            </w:r>
          </w:p>
        </w:tc>
      </w:tr>
      <w:tr w14:paraId="47DDDF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/>
          </w:tcPr>
          <w:p w14:paraId="335143F9">
            <w:pPr>
              <w:snapToGrid w:val="0"/>
              <w:spacing w:line="480" w:lineRule="exact"/>
              <w:jc w:val="lef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color w:val="000000"/>
                <w:sz w:val="28"/>
                <w:szCs w:val="28"/>
              </w:rPr>
              <w:t>流动性</w:t>
            </w:r>
          </w:p>
        </w:tc>
      </w:tr>
      <w:tr w14:paraId="712ECF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5E2073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C1590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优质流动性资产充足率（%）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22FE3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113.96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EC30521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114.29</w:t>
            </w:r>
          </w:p>
        </w:tc>
      </w:tr>
      <w:tr w14:paraId="3123C8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A5FFED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203CB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流动性比例（%）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34947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82E9F6A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64.92</w:t>
            </w:r>
          </w:p>
        </w:tc>
      </w:tr>
      <w:tr w14:paraId="36F000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5518541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A138C6">
            <w:pPr>
              <w:snapToGrid w:val="0"/>
              <w:spacing w:line="480" w:lineRule="exact"/>
              <w:rPr>
                <w:rFonts w:ascii="仿宋_GB2312" w:hAnsi="仿宋" w:eastAsia="仿宋_GB2312" w:cs="Arial Unicode MS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</w:rPr>
              <w:t>流动性匹配率（%）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ACB979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148.68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2A08E6A">
            <w:pPr>
              <w:snapToGrid w:val="0"/>
              <w:spacing w:line="480" w:lineRule="exact"/>
              <w:jc w:val="center"/>
              <w:rPr>
                <w:rFonts w:hint="default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153.90</w:t>
            </w:r>
          </w:p>
        </w:tc>
      </w:tr>
    </w:tbl>
    <w:p w14:paraId="33DC378E">
      <w:pPr>
        <w:jc w:val="center"/>
        <w:rPr>
          <w:rFonts w:ascii="楷体_GB2312" w:hAnsi="楷体_GB2312" w:eastAsia="楷体_GB2312" w:cs="楷体_GB2312"/>
          <w:b/>
          <w:bCs/>
          <w:color w:val="000000"/>
          <w:sz w:val="28"/>
          <w:szCs w:val="28"/>
        </w:rPr>
      </w:pPr>
    </w:p>
    <w:p w14:paraId="58F67C14">
      <w:pPr>
        <w:jc w:val="center"/>
        <w:rPr>
          <w:rFonts w:ascii="楷体_GB2312" w:hAnsi="楷体_GB2312" w:eastAsia="楷体_GB2312" w:cs="楷体_GB2312"/>
          <w:b/>
          <w:bCs/>
          <w:color w:val="00000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28"/>
          <w:szCs w:val="28"/>
        </w:rPr>
        <w:t>表</w:t>
      </w:r>
      <w:r>
        <w:rPr>
          <w:rFonts w:ascii="楷体_GB2312" w:hAnsi="楷体_GB2312" w:eastAsia="楷体_GB2312" w:cs="楷体_GB2312"/>
          <w:b/>
          <w:bCs/>
          <w:color w:val="000000"/>
          <w:sz w:val="28"/>
          <w:szCs w:val="28"/>
        </w:rPr>
        <w:t>4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color w:val="000000"/>
          <w:sz w:val="28"/>
          <w:szCs w:val="28"/>
        </w:rPr>
        <w:t>资本构成</w:t>
      </w:r>
    </w:p>
    <w:tbl>
      <w:tblPr>
        <w:tblStyle w:val="5"/>
        <w:tblW w:w="834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706"/>
        <w:gridCol w:w="2071"/>
      </w:tblGrid>
      <w:tr w14:paraId="5DC4E2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69" w:type="dxa"/>
            <w:gridSpan w:val="2"/>
            <w:vAlign w:val="center"/>
          </w:tcPr>
          <w:p w14:paraId="1102EE89"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2071" w:type="dxa"/>
            <w:vAlign w:val="center"/>
          </w:tcPr>
          <w:p w14:paraId="1C4EF849"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数额</w:t>
            </w:r>
          </w:p>
        </w:tc>
      </w:tr>
      <w:tr w14:paraId="007690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vAlign w:val="center"/>
          </w:tcPr>
          <w:p w14:paraId="7B0F3EC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6" w:type="dxa"/>
            <w:vAlign w:val="center"/>
          </w:tcPr>
          <w:p w14:paraId="4129DB18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实收资本和资本公积可计入部分（万元）</w:t>
            </w:r>
          </w:p>
        </w:tc>
        <w:tc>
          <w:tcPr>
            <w:tcW w:w="2071" w:type="dxa"/>
            <w:vAlign w:val="center"/>
          </w:tcPr>
          <w:p w14:paraId="7F35AC0B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10000</w:t>
            </w:r>
          </w:p>
        </w:tc>
      </w:tr>
      <w:tr w14:paraId="2AB19A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vAlign w:val="center"/>
          </w:tcPr>
          <w:p w14:paraId="6A5B8EAE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6" w:type="dxa"/>
            <w:vAlign w:val="center"/>
          </w:tcPr>
          <w:p w14:paraId="1B7EBC8B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TW"/>
              </w:rPr>
              <w:t>留存收益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2071" w:type="dxa"/>
            <w:vAlign w:val="center"/>
          </w:tcPr>
          <w:p w14:paraId="34EA5640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1258.82</w:t>
            </w:r>
          </w:p>
        </w:tc>
      </w:tr>
      <w:tr w14:paraId="091052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vAlign w:val="center"/>
          </w:tcPr>
          <w:p w14:paraId="7ECE0B61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2a</w:t>
            </w:r>
          </w:p>
        </w:tc>
        <w:tc>
          <w:tcPr>
            <w:tcW w:w="5706" w:type="dxa"/>
            <w:vAlign w:val="center"/>
          </w:tcPr>
          <w:p w14:paraId="3B77E191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盈余公积(万元)</w:t>
            </w:r>
          </w:p>
        </w:tc>
        <w:tc>
          <w:tcPr>
            <w:tcW w:w="2071" w:type="dxa"/>
            <w:vAlign w:val="center"/>
          </w:tcPr>
          <w:p w14:paraId="205FA68D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1074.11</w:t>
            </w:r>
          </w:p>
        </w:tc>
      </w:tr>
      <w:tr w14:paraId="3BBA03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563" w:type="dxa"/>
            <w:vAlign w:val="center"/>
          </w:tcPr>
          <w:p w14:paraId="575B34BC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2b</w:t>
            </w:r>
          </w:p>
        </w:tc>
        <w:tc>
          <w:tcPr>
            <w:tcW w:w="5706" w:type="dxa"/>
            <w:vAlign w:val="center"/>
          </w:tcPr>
          <w:p w14:paraId="2BDB33FA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一般风险准备（万元）</w:t>
            </w:r>
          </w:p>
        </w:tc>
        <w:tc>
          <w:tcPr>
            <w:tcW w:w="2071" w:type="dxa"/>
            <w:vAlign w:val="center"/>
          </w:tcPr>
          <w:p w14:paraId="53BDF74A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2944.19</w:t>
            </w:r>
          </w:p>
        </w:tc>
      </w:tr>
      <w:tr w14:paraId="793BE5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563" w:type="dxa"/>
            <w:vAlign w:val="center"/>
          </w:tcPr>
          <w:p w14:paraId="0E7349D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2c</w:t>
            </w:r>
          </w:p>
        </w:tc>
        <w:tc>
          <w:tcPr>
            <w:tcW w:w="5706" w:type="dxa"/>
            <w:vAlign w:val="center"/>
          </w:tcPr>
          <w:p w14:paraId="5F8E4AA7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未分配利润（万元）</w:t>
            </w:r>
          </w:p>
        </w:tc>
        <w:tc>
          <w:tcPr>
            <w:tcW w:w="2071" w:type="dxa"/>
            <w:vAlign w:val="center"/>
          </w:tcPr>
          <w:p w14:paraId="5D48CE08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1080.50</w:t>
            </w:r>
          </w:p>
        </w:tc>
      </w:tr>
      <w:tr w14:paraId="4D298F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10D4350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2D53BD83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累计其他综合收益（万元）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21332501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26.96</w:t>
            </w:r>
          </w:p>
        </w:tc>
      </w:tr>
      <w:tr w14:paraId="14A5E8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5C7C0BE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2D52D8B1">
            <w:pPr>
              <w:spacing w:line="480" w:lineRule="exact"/>
              <w:rPr>
                <w:rFonts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监管调整前的核心一级资本（万元）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0040A62D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15125.76</w:t>
            </w:r>
          </w:p>
        </w:tc>
      </w:tr>
      <w:tr w14:paraId="7730F8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6A6DF0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65390F0D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商誉（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扣除递延税负债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）（万元）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2F0E7F3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0</w:t>
            </w:r>
          </w:p>
        </w:tc>
      </w:tr>
      <w:tr w14:paraId="4813F5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A5F8C9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0891F541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其他无形资产（土地使用权除外）（扣除递延税负债）（万元）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073FD16F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0</w:t>
            </w:r>
          </w:p>
        </w:tc>
      </w:tr>
      <w:tr w14:paraId="6EA547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E24CBD6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487E624F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TW"/>
              </w:rPr>
              <w:t>依赖未来盈利的由经营亏损引起的净递延税资产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7115880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0</w:t>
            </w:r>
          </w:p>
        </w:tc>
      </w:tr>
      <w:tr w14:paraId="339B2B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A3A307D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745F0AFD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TW"/>
              </w:rPr>
              <w:t>损失准备缺口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1E616B65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0</w:t>
            </w:r>
          </w:p>
        </w:tc>
      </w:tr>
      <w:tr w14:paraId="501D20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0CCFA68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64829F8A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TW"/>
              </w:rPr>
              <w:t>直接或间接持有本银行的普通股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560E0E30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0</w:t>
            </w:r>
          </w:p>
        </w:tc>
      </w:tr>
      <w:tr w14:paraId="4CB68D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E5D502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62651365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持有的金融机构一级资本工具（万元）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25948766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A0E71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2F36304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7EB381AE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监管规定的其他应从核心一级资本中扣除的项目合计（万元）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0CCBE78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0</w:t>
            </w:r>
          </w:p>
        </w:tc>
      </w:tr>
      <w:tr w14:paraId="338B85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3FA78AD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6BB65539">
            <w:pPr>
              <w:spacing w:line="480" w:lineRule="exact"/>
              <w:rPr>
                <w:rFonts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核心一级资本监管调整总和（万元）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0EEBAB95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0</w:t>
            </w:r>
          </w:p>
        </w:tc>
      </w:tr>
      <w:tr w14:paraId="49477D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60FC4B0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040F3873">
            <w:pPr>
              <w:spacing w:line="480" w:lineRule="exact"/>
              <w:rPr>
                <w:rFonts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核心一级资本净额（万元）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17251DF7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15125.76</w:t>
            </w:r>
          </w:p>
        </w:tc>
      </w:tr>
      <w:tr w14:paraId="4CD1D0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78CAB60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5F5090F8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监管认可的其他资本工具（万元）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010098C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0</w:t>
            </w:r>
          </w:p>
        </w:tc>
      </w:tr>
      <w:tr w14:paraId="3CF31A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0B3E78D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30BAF718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TW"/>
              </w:rPr>
              <w:t>超额损失准备可计入部分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7FCBBF10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1933.76</w:t>
            </w:r>
          </w:p>
        </w:tc>
      </w:tr>
      <w:tr w14:paraId="590F77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2A3B5BC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706" w:type="dxa"/>
            <w:shd w:val="clear" w:color="auto" w:fill="FFFFFF"/>
            <w:vAlign w:val="center"/>
          </w:tcPr>
          <w:p w14:paraId="5DD2F0B7">
            <w:pPr>
              <w:spacing w:line="480" w:lineRule="exact"/>
              <w:rPr>
                <w:rFonts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监管调整前的其他资本（万元）</w:t>
            </w:r>
          </w:p>
        </w:tc>
        <w:tc>
          <w:tcPr>
            <w:tcW w:w="2071" w:type="dxa"/>
            <w:shd w:val="clear" w:color="auto" w:fill="FFFFFF"/>
            <w:vAlign w:val="center"/>
          </w:tcPr>
          <w:p w14:paraId="4BBA252A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1933.76</w:t>
            </w:r>
          </w:p>
        </w:tc>
      </w:tr>
      <w:tr w14:paraId="67A7AC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3" w:type="dxa"/>
            <w:vAlign w:val="center"/>
          </w:tcPr>
          <w:p w14:paraId="7C354288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706" w:type="dxa"/>
            <w:vAlign w:val="center"/>
          </w:tcPr>
          <w:p w14:paraId="7CE8EC8E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持有的金融机构二级资本工具（万元）</w:t>
            </w:r>
          </w:p>
        </w:tc>
        <w:tc>
          <w:tcPr>
            <w:tcW w:w="2071" w:type="dxa"/>
            <w:vAlign w:val="center"/>
          </w:tcPr>
          <w:p w14:paraId="50AB7AB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0</w:t>
            </w:r>
          </w:p>
        </w:tc>
      </w:tr>
      <w:tr w14:paraId="621FBF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563" w:type="dxa"/>
            <w:vAlign w:val="center"/>
          </w:tcPr>
          <w:p w14:paraId="56C49C1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706" w:type="dxa"/>
            <w:vAlign w:val="center"/>
          </w:tcPr>
          <w:p w14:paraId="25089A63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持有本银行或第三档商业银行的其他资本工具（万元）</w:t>
            </w:r>
          </w:p>
        </w:tc>
        <w:tc>
          <w:tcPr>
            <w:tcW w:w="2071" w:type="dxa"/>
            <w:vAlign w:val="center"/>
          </w:tcPr>
          <w:p w14:paraId="062B1408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0</w:t>
            </w:r>
          </w:p>
        </w:tc>
      </w:tr>
      <w:tr w14:paraId="7B69EF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63" w:type="dxa"/>
            <w:vAlign w:val="center"/>
          </w:tcPr>
          <w:p w14:paraId="2017D8D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706" w:type="dxa"/>
            <w:vAlign w:val="center"/>
          </w:tcPr>
          <w:p w14:paraId="5528D564">
            <w:pPr>
              <w:spacing w:line="48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监管规定的其他应从其他资本中扣除的项目合计（万元）</w:t>
            </w:r>
          </w:p>
        </w:tc>
        <w:tc>
          <w:tcPr>
            <w:tcW w:w="2071" w:type="dxa"/>
            <w:vAlign w:val="center"/>
          </w:tcPr>
          <w:p w14:paraId="73A2612F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0</w:t>
            </w:r>
          </w:p>
        </w:tc>
      </w:tr>
      <w:tr w14:paraId="6CE173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563" w:type="dxa"/>
            <w:vAlign w:val="center"/>
          </w:tcPr>
          <w:p w14:paraId="4077D069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706" w:type="dxa"/>
            <w:vAlign w:val="center"/>
          </w:tcPr>
          <w:p w14:paraId="40DC7EA5">
            <w:pPr>
              <w:spacing w:line="480" w:lineRule="exact"/>
              <w:rPr>
                <w:rFonts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其他资本监管调整总和（万元）</w:t>
            </w:r>
          </w:p>
        </w:tc>
        <w:tc>
          <w:tcPr>
            <w:tcW w:w="2071" w:type="dxa"/>
            <w:vAlign w:val="center"/>
          </w:tcPr>
          <w:p w14:paraId="19CE9DF4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0</w:t>
            </w:r>
          </w:p>
        </w:tc>
      </w:tr>
      <w:tr w14:paraId="3A9675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vAlign w:val="center"/>
          </w:tcPr>
          <w:p w14:paraId="5A7CF415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706" w:type="dxa"/>
            <w:vAlign w:val="center"/>
          </w:tcPr>
          <w:p w14:paraId="53A27B4D">
            <w:pPr>
              <w:spacing w:line="480" w:lineRule="exact"/>
              <w:rPr>
                <w:rFonts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其他资本净额（万元）</w:t>
            </w:r>
          </w:p>
        </w:tc>
        <w:tc>
          <w:tcPr>
            <w:tcW w:w="2071" w:type="dxa"/>
            <w:vAlign w:val="center"/>
          </w:tcPr>
          <w:p w14:paraId="6916D39C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1933.76</w:t>
            </w:r>
          </w:p>
        </w:tc>
      </w:tr>
      <w:tr w14:paraId="6CB429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63" w:type="dxa"/>
            <w:vAlign w:val="center"/>
          </w:tcPr>
          <w:p w14:paraId="6A8FFE31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706" w:type="dxa"/>
            <w:vAlign w:val="center"/>
          </w:tcPr>
          <w:p w14:paraId="796F015D">
            <w:pPr>
              <w:spacing w:line="480" w:lineRule="exact"/>
              <w:rPr>
                <w:rFonts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总资本净额（万元）</w:t>
            </w:r>
          </w:p>
        </w:tc>
        <w:tc>
          <w:tcPr>
            <w:tcW w:w="2071" w:type="dxa"/>
            <w:vAlign w:val="center"/>
          </w:tcPr>
          <w:p w14:paraId="3DB54337">
            <w:p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Arial Unicode MS"/>
                <w:color w:val="000000"/>
                <w:sz w:val="28"/>
                <w:szCs w:val="28"/>
                <w:lang w:val="en-US" w:eastAsia="zh-CN"/>
              </w:rPr>
              <w:t>17059.52</w:t>
            </w:r>
          </w:p>
        </w:tc>
      </w:tr>
    </w:tbl>
    <w:p w14:paraId="5A2D4F59">
      <w:pPr>
        <w:spacing w:line="48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6DBEB90B">
      <w:pPr>
        <w:spacing w:line="48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特此报告。</w:t>
      </w:r>
    </w:p>
    <w:p w14:paraId="20589C1A">
      <w:pPr>
        <w:spacing w:line="48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35F5DE40">
      <w:pPr>
        <w:spacing w:line="48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388FA123">
      <w:pPr>
        <w:spacing w:line="480" w:lineRule="exact"/>
        <w:ind w:firstLine="640" w:firstLineChars="200"/>
        <w:jc w:val="center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丰城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顺银村镇银行股份有限公司</w:t>
      </w:r>
    </w:p>
    <w:p w14:paraId="7C83E866">
      <w:pPr>
        <w:spacing w:line="480" w:lineRule="exact"/>
        <w:ind w:firstLine="640" w:firstLineChars="200"/>
        <w:jc w:val="center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 w14:paraId="6FBA92DD"/>
    <w:sectPr>
      <w:pgSz w:w="11906" w:h="16838"/>
      <w:pgMar w:top="2098" w:right="1531" w:bottom="2098" w:left="1531" w:header="1457" w:footer="15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01"/>
    <w:rsid w:val="000A3D0D"/>
    <w:rsid w:val="00103134"/>
    <w:rsid w:val="00153E57"/>
    <w:rsid w:val="00165753"/>
    <w:rsid w:val="00172E98"/>
    <w:rsid w:val="001B6DB5"/>
    <w:rsid w:val="001C3B7B"/>
    <w:rsid w:val="001D4727"/>
    <w:rsid w:val="002200CB"/>
    <w:rsid w:val="002640F5"/>
    <w:rsid w:val="00314A7B"/>
    <w:rsid w:val="003C381A"/>
    <w:rsid w:val="003E1D51"/>
    <w:rsid w:val="0040154E"/>
    <w:rsid w:val="0043065D"/>
    <w:rsid w:val="0045486A"/>
    <w:rsid w:val="0046213D"/>
    <w:rsid w:val="004D0B27"/>
    <w:rsid w:val="004D4730"/>
    <w:rsid w:val="004E32E9"/>
    <w:rsid w:val="00541ECA"/>
    <w:rsid w:val="00600DCF"/>
    <w:rsid w:val="00636434"/>
    <w:rsid w:val="006854F1"/>
    <w:rsid w:val="006C29A8"/>
    <w:rsid w:val="007048D3"/>
    <w:rsid w:val="00710B7B"/>
    <w:rsid w:val="00737B68"/>
    <w:rsid w:val="00757F69"/>
    <w:rsid w:val="00774CDA"/>
    <w:rsid w:val="007C0650"/>
    <w:rsid w:val="00806ECB"/>
    <w:rsid w:val="00861FA1"/>
    <w:rsid w:val="008E15A0"/>
    <w:rsid w:val="008E35DB"/>
    <w:rsid w:val="00921A55"/>
    <w:rsid w:val="00976934"/>
    <w:rsid w:val="00991AD3"/>
    <w:rsid w:val="009B230D"/>
    <w:rsid w:val="009C588D"/>
    <w:rsid w:val="00A44454"/>
    <w:rsid w:val="00A61244"/>
    <w:rsid w:val="00A6372A"/>
    <w:rsid w:val="00A83093"/>
    <w:rsid w:val="00A84B4B"/>
    <w:rsid w:val="00AB608D"/>
    <w:rsid w:val="00B2192A"/>
    <w:rsid w:val="00B51089"/>
    <w:rsid w:val="00B60901"/>
    <w:rsid w:val="00B726A3"/>
    <w:rsid w:val="00B936EE"/>
    <w:rsid w:val="00C07994"/>
    <w:rsid w:val="00C116A2"/>
    <w:rsid w:val="00C15D18"/>
    <w:rsid w:val="00CB3FFF"/>
    <w:rsid w:val="00D30865"/>
    <w:rsid w:val="00D64C8F"/>
    <w:rsid w:val="00D71A66"/>
    <w:rsid w:val="00D87048"/>
    <w:rsid w:val="00DB75C2"/>
    <w:rsid w:val="00F10703"/>
    <w:rsid w:val="00F736A5"/>
    <w:rsid w:val="07691BB9"/>
    <w:rsid w:val="191A16BA"/>
    <w:rsid w:val="195924A3"/>
    <w:rsid w:val="19EE0799"/>
    <w:rsid w:val="1D200037"/>
    <w:rsid w:val="21F665C5"/>
    <w:rsid w:val="224E24D7"/>
    <w:rsid w:val="25F36E01"/>
    <w:rsid w:val="261D6994"/>
    <w:rsid w:val="277933CE"/>
    <w:rsid w:val="326677A9"/>
    <w:rsid w:val="336E5F6C"/>
    <w:rsid w:val="3B7A6022"/>
    <w:rsid w:val="41F00A7D"/>
    <w:rsid w:val="427F2615"/>
    <w:rsid w:val="462A2AA8"/>
    <w:rsid w:val="4A301397"/>
    <w:rsid w:val="52F07F1E"/>
    <w:rsid w:val="59564420"/>
    <w:rsid w:val="621A0401"/>
    <w:rsid w:val="635C1D12"/>
    <w:rsid w:val="671C723A"/>
    <w:rsid w:val="698279A8"/>
    <w:rsid w:val="705E74E1"/>
    <w:rsid w:val="737871FE"/>
    <w:rsid w:val="7510189E"/>
    <w:rsid w:val="7BDB1DB5"/>
    <w:rsid w:val="7C043085"/>
    <w:rsid w:val="7CE1176F"/>
    <w:rsid w:val="7DFE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Body"/>
    <w:qFormat/>
    <w:uiPriority w:val="0"/>
    <w:pPr>
      <w:spacing w:line="360" w:lineRule="auto"/>
    </w:pPr>
    <w:rPr>
      <w:rFonts w:ascii="Calibri" w:hAnsi="Calibri" w:eastAsia="Calibri" w:cs="Calibri"/>
      <w:color w:val="000000"/>
      <w:kern w:val="2"/>
      <w:sz w:val="21"/>
      <w:szCs w:val="21"/>
      <w:lang w:val="zh-TW" w:eastAsia="zh-TW" w:bidi="ar-SA"/>
    </w:rPr>
  </w:style>
  <w:style w:type="character" w:customStyle="1" w:styleId="10">
    <w:name w:val="日期 字符"/>
    <w:basedOn w:val="6"/>
    <w:link w:val="2"/>
    <w:semiHidden/>
    <w:qFormat/>
    <w:uiPriority w:val="99"/>
    <w:rPr>
      <w:rFonts w:ascii="Times New Roman" w:hAnsi="Times New Roman" w:eastAsia="等线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187</Words>
  <Characters>1069</Characters>
  <Lines>8</Lines>
  <Paragraphs>2</Paragraphs>
  <TotalTime>37</TotalTime>
  <ScaleCrop>false</ScaleCrop>
  <LinksUpToDate>false</LinksUpToDate>
  <CharactersWithSpaces>1254</CharactersWithSpaces>
  <Application>WPS Office_12.8.2.19296_F1E327BC-269C-435d-A152-05C5408002CA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2024-09-18T08:59:00Z</dcterms:created>
  <dc:creator>周舟</dc:creator>
  <cp:lastModifiedBy>61281</cp:lastModifiedBy>
  <dcterms:modified xsi:type="dcterms:W3CDTF">2026-07-22T06:37:20Z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2052-12.8.2.19296</vt:lpwstr>
  </property>
  <property fmtid="{D5CDD505-2E9C-101B-9397-08002B2CF9AE}" pid="3" name="ICV">
    <vt:lpwstr>6516FE28F15B44FBB0F3CA6FEF7D8C9E_12</vt:lpwstr>
  </property>
</Properties>
</file>